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1A566" w14:textId="77777777" w:rsidR="0076711B" w:rsidRDefault="00030CF4" w:rsidP="00761D87">
      <w:pPr>
        <w:pStyle w:val="Titel"/>
      </w:pPr>
      <w:bookmarkStart w:id="0" w:name="h.gwokcgs5pd4z"/>
      <w:bookmarkEnd w:id="0"/>
      <w:r>
        <w:t>Hypothesis-free identification of modulators of genetic risk factors</w:t>
      </w:r>
    </w:p>
    <w:p w14:paraId="23732F9F" w14:textId="77777777" w:rsidR="0076711B" w:rsidRDefault="0076711B">
      <w:pPr>
        <w:pStyle w:val="Standaard2"/>
      </w:pPr>
    </w:p>
    <w:p w14:paraId="14F69A04" w14:textId="77777777" w:rsidR="0076711B" w:rsidRPr="00AF0D64" w:rsidRDefault="00030CF4">
      <w:pPr>
        <w:pStyle w:val="Standaard2"/>
        <w:jc w:val="center"/>
        <w:rPr>
          <w:sz w:val="28"/>
          <w:szCs w:val="28"/>
        </w:rPr>
      </w:pPr>
      <w:r w:rsidRPr="00AF0D64">
        <w:rPr>
          <w:b/>
          <w:color w:val="00000A"/>
          <w:sz w:val="28"/>
          <w:szCs w:val="28"/>
          <w:u w:val="single"/>
        </w:rPr>
        <w:t>Supplementary Figures</w:t>
      </w:r>
    </w:p>
    <w:sdt>
      <w:sdtPr>
        <w:rPr>
          <w:rFonts w:ascii="Arial" w:eastAsia="WenQuanYi Micro Hei" w:hAnsi="Arial" w:cs="Arial"/>
          <w:color w:val="00000A"/>
          <w:sz w:val="22"/>
          <w:szCs w:val="22"/>
        </w:rPr>
        <w:id w:val="222025598"/>
        <w:docPartObj>
          <w:docPartGallery w:val="Table of Contents"/>
          <w:docPartUnique/>
        </w:docPartObj>
      </w:sdtPr>
      <w:sdtEndPr>
        <w:rPr>
          <w:b/>
          <w:bCs/>
          <w:noProof/>
        </w:rPr>
      </w:sdtEndPr>
      <w:sdtContent>
        <w:p w14:paraId="55027218" w14:textId="4759596A" w:rsidR="00761D87" w:rsidRDefault="00761D87">
          <w:pPr>
            <w:pStyle w:val="Kopvaninhoudsopgave"/>
          </w:pPr>
        </w:p>
        <w:p w14:paraId="0F65AEFC" w14:textId="77777777" w:rsidR="005475EB" w:rsidRDefault="00761D87" w:rsidP="00E5097E">
          <w:pPr>
            <w:pStyle w:val="Inhopg1"/>
            <w:rPr>
              <w:rFonts w:asciiTheme="minorHAnsi" w:eastAsiaTheme="minorEastAsia" w:hAnsiTheme="minorHAnsi" w:cstheme="minorBidi"/>
              <w:noProof/>
              <w:color w:val="auto"/>
              <w:sz w:val="24"/>
              <w:szCs w:val="24"/>
              <w:lang w:eastAsia="ja-JP"/>
            </w:rPr>
          </w:pPr>
          <w:r>
            <w:fldChar w:fldCharType="begin"/>
          </w:r>
          <w:r>
            <w:instrText xml:space="preserve"> TOC \o "1-3" \n \p " " \h \z \u </w:instrText>
          </w:r>
          <w:r>
            <w:fldChar w:fldCharType="separate"/>
          </w:r>
          <w:r w:rsidR="005475EB">
            <w:rPr>
              <w:noProof/>
            </w:rPr>
            <w:t>Figure S1. Number of independent eQTLs per gene, exon, exon ratio and polyA ratio</w:t>
          </w:r>
        </w:p>
        <w:p w14:paraId="4AF6C54D"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S2. Heatmap of expression of covariate genes per module in the BLUEPRINT data</w:t>
          </w:r>
        </w:p>
        <w:p w14:paraId="77FBE6F2"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S3. Expression of module eQTL genes in BLUEPRINT data and their replication in previously reported cell-type-specific datasets</w:t>
          </w:r>
        </w:p>
        <w:p w14:paraId="15D7D92A"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S4. Interaction plots for various diseases</w:t>
          </w:r>
        </w:p>
        <w:p w14:paraId="14B2CE7E"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S5. Combining gene- and exon-level eQTLs can help to explain gene expression regulation</w:t>
          </w:r>
        </w:p>
        <w:p w14:paraId="2AA86E06"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S6. Genotype concordance and heterozygosity rate per sample for each biobank</w:t>
          </w:r>
        </w:p>
        <w:p w14:paraId="1A91A324"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 xml:space="preserve">Figure S7. Biotypes of </w:t>
          </w:r>
          <w:r w:rsidRPr="00F6162E">
            <w:rPr>
              <w:i/>
              <w:noProof/>
            </w:rPr>
            <w:t>cis-</w:t>
          </w:r>
          <w:r>
            <w:rPr>
              <w:noProof/>
            </w:rPr>
            <w:t>regulated genes</w:t>
          </w:r>
        </w:p>
        <w:p w14:paraId="602C5014"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S8. Overlap of different levels of eQTLs</w:t>
          </w:r>
        </w:p>
        <w:p w14:paraId="1F08EB5B"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S9. Distance of the eSNP relative to TSS</w:t>
          </w:r>
        </w:p>
        <w:p w14:paraId="3439BE9A"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S10. Distance from eSNP to the exon middle for exon ratio and exon-level eQTLs</w:t>
          </w:r>
        </w:p>
        <w:p w14:paraId="2651EACB"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S11. Disease categories for trait-associated eQTLs</w:t>
          </w:r>
        </w:p>
        <w:p w14:paraId="2FA94736"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S12. Distribution of exon ratio QTLs around splice donor or acceptor sites</w:t>
          </w:r>
        </w:p>
        <w:p w14:paraId="0C1DB7D0"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S13. Classification of splicing events affected by exon ratio QTLs</w:t>
          </w:r>
        </w:p>
        <w:p w14:paraId="6B216E31"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S14. An example of an exon ratio QTL overlapping with a hit in the GWAS catalogue</w:t>
          </w:r>
        </w:p>
        <w:p w14:paraId="7C8D4083"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S15. Distance of polyA ratio QTLs to annotated polyA sites</w:t>
          </w:r>
        </w:p>
        <w:p w14:paraId="51F0E563"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S16. An example of a polyA ratio QTL overlapping with a hit in the GWAS catalogue</w:t>
          </w:r>
        </w:p>
        <w:p w14:paraId="219CF44A"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S17. Plot of an eQTL having opposite allelic directions in BBMRI and Geuvadis</w:t>
          </w:r>
        </w:p>
        <w:p w14:paraId="1D546EE3"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S18. Independent effects in GEUVADIS dataset and in a random subset of BIOS of the same size</w:t>
          </w:r>
        </w:p>
        <w:p w14:paraId="4B2EB030"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S19. Histogram of RNA blood sampling age distribution per biobank</w:t>
          </w:r>
        </w:p>
        <w:p w14:paraId="592A0457" w14:textId="77777777" w:rsidR="005475EB" w:rsidRDefault="005475EB" w:rsidP="00E5097E">
          <w:pPr>
            <w:pStyle w:val="Inhopg1"/>
            <w:rPr>
              <w:rFonts w:asciiTheme="minorHAnsi" w:eastAsiaTheme="minorEastAsia" w:hAnsiTheme="minorHAnsi" w:cstheme="minorBidi"/>
              <w:noProof/>
              <w:color w:val="auto"/>
              <w:sz w:val="24"/>
              <w:szCs w:val="24"/>
              <w:lang w:eastAsia="ja-JP"/>
            </w:rPr>
          </w:pPr>
          <w:r>
            <w:rPr>
              <w:noProof/>
            </w:rPr>
            <w:t>Figure S20. Plots of picard metrics results and the outlier samples removed based on these metrics</w:t>
          </w:r>
        </w:p>
        <w:p w14:paraId="219E79E3" w14:textId="52628C3E" w:rsidR="0076711B" w:rsidRDefault="005475EB" w:rsidP="00E5097E">
          <w:pPr>
            <w:pStyle w:val="Inhopg1"/>
          </w:pPr>
          <w:r>
            <w:rPr>
              <w:noProof/>
            </w:rPr>
            <w:t>Figure S21. Accuracy of cell count prediction method</w:t>
          </w:r>
          <w:r w:rsidR="00761D87">
            <w:fldChar w:fldCharType="end"/>
          </w:r>
        </w:p>
      </w:sdtContent>
    </w:sdt>
    <w:p w14:paraId="57B6CA9C" w14:textId="77777777" w:rsidR="0076711B" w:rsidRDefault="00030CF4" w:rsidP="00761D87">
      <w:pPr>
        <w:pStyle w:val="Kop1"/>
      </w:pPr>
      <w:r>
        <w:lastRenderedPageBreak/>
        <w:t xml:space="preserve">Figure S1. Number of independent eQTLs per gene, exon, exon ratio and </w:t>
      </w:r>
      <w:proofErr w:type="spellStart"/>
      <w:r>
        <w:t>polyA</w:t>
      </w:r>
      <w:proofErr w:type="spellEnd"/>
      <w:r>
        <w:t xml:space="preserve"> ratio</w:t>
      </w:r>
    </w:p>
    <w:p w14:paraId="1A87B803" w14:textId="77777777" w:rsidR="0076711B" w:rsidRDefault="00030CF4">
      <w:pPr>
        <w:pStyle w:val="Standaard2"/>
      </w:pPr>
      <w:r>
        <w:rPr>
          <w:color w:val="00000A"/>
        </w:rPr>
        <w:t xml:space="preserve">These bar plots show the number of unique eQTL features having primary, secondary, tertiary and further effects for gene-level eQTLs (A), exon-level eQTLs (B), exon ratio QTLs (C) and </w:t>
      </w:r>
      <w:proofErr w:type="spellStart"/>
      <w:r>
        <w:rPr>
          <w:color w:val="00000A"/>
        </w:rPr>
        <w:t>polyA</w:t>
      </w:r>
      <w:proofErr w:type="spellEnd"/>
      <w:r>
        <w:rPr>
          <w:color w:val="00000A"/>
        </w:rPr>
        <w:t xml:space="preserve"> ratio QTLs (D). Panels (E), (F), (G) show the number of unique genes for exon-level, exon-ratio and </w:t>
      </w:r>
      <w:proofErr w:type="spellStart"/>
      <w:r>
        <w:rPr>
          <w:color w:val="00000A"/>
        </w:rPr>
        <w:t>polyA</w:t>
      </w:r>
      <w:proofErr w:type="spellEnd"/>
      <w:r>
        <w:rPr>
          <w:color w:val="00000A"/>
        </w:rPr>
        <w:t xml:space="preserve">-ratio QTL mapping. In red the number of genes </w:t>
      </w:r>
      <w:r>
        <w:rPr>
          <w:i/>
          <w:color w:val="00000A"/>
        </w:rPr>
        <w:t>cis</w:t>
      </w:r>
      <w:r>
        <w:rPr>
          <w:color w:val="00000A"/>
        </w:rPr>
        <w:t>-regulated by a GWAS hit or its close proxy (r</w:t>
      </w:r>
      <w:r>
        <w:rPr>
          <w:color w:val="00000A"/>
          <w:vertAlign w:val="superscript"/>
        </w:rPr>
        <w:t>2</w:t>
      </w:r>
      <w:r>
        <w:rPr>
          <w:color w:val="00000A"/>
        </w:rPr>
        <w:t xml:space="preserve"> ≥ 0.8) is shown. </w:t>
      </w:r>
    </w:p>
    <w:p w14:paraId="63AB0FCC" w14:textId="77777777" w:rsidR="0076711B" w:rsidRDefault="0076711B">
      <w:pPr>
        <w:pStyle w:val="Standaard2"/>
      </w:pPr>
    </w:p>
    <w:p w14:paraId="3489F49B" w14:textId="77777777" w:rsidR="0076711B" w:rsidRDefault="00030CF4" w:rsidP="00761D87">
      <w:r>
        <w:rPr>
          <w:noProof/>
        </w:rPr>
        <w:drawing>
          <wp:inline distT="0" distB="0" distL="0" distR="0" wp14:anchorId="0EE260C1" wp14:editId="1DA67F97">
            <wp:extent cx="3651885" cy="365188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3651885" cy="3651885"/>
                    </a:xfrm>
                    <a:prstGeom prst="rect">
                      <a:avLst/>
                    </a:prstGeom>
                    <a:noFill/>
                    <a:ln w="9525">
                      <a:noFill/>
                      <a:miter lim="800000"/>
                      <a:headEnd/>
                      <a:tailEnd/>
                    </a:ln>
                  </pic:spPr>
                </pic:pic>
              </a:graphicData>
            </a:graphic>
          </wp:inline>
        </w:drawing>
      </w:r>
    </w:p>
    <w:p w14:paraId="2B799C93" w14:textId="77777777" w:rsidR="0076711B" w:rsidRDefault="00030CF4" w:rsidP="00761D87">
      <w:pPr>
        <w:pStyle w:val="Kop1"/>
      </w:pPr>
      <w:r>
        <w:lastRenderedPageBreak/>
        <w:t xml:space="preserve">Figure S2. </w:t>
      </w:r>
      <w:proofErr w:type="spellStart"/>
      <w:r>
        <w:t>Heatmap</w:t>
      </w:r>
      <w:proofErr w:type="spellEnd"/>
      <w:r>
        <w:t xml:space="preserve"> of expression of covariate genes per module in the BLUEPRINT data</w:t>
      </w:r>
    </w:p>
    <w:p w14:paraId="73788B11" w14:textId="77777777" w:rsidR="0076711B" w:rsidRDefault="00030CF4">
      <w:pPr>
        <w:pStyle w:val="Standaard2"/>
      </w:pPr>
      <w:r>
        <w:rPr>
          <w:color w:val="00000A"/>
        </w:rPr>
        <w:t xml:space="preserve">When clustering the module eQTL genes subset using BLUEPRINT </w:t>
      </w:r>
      <w:proofErr w:type="spellStart"/>
      <w:r>
        <w:rPr>
          <w:color w:val="00000A"/>
        </w:rPr>
        <w:t>RNAseq</w:t>
      </w:r>
      <w:proofErr w:type="spellEnd"/>
      <w:r>
        <w:rPr>
          <w:color w:val="00000A"/>
        </w:rPr>
        <w:t xml:space="preserve"> data on several different blood cell types, different modules show cell-type-specificity. For example, Module I eQTL genes are highly expressed in mature neutrophils and Module 9 genes are mainly expressed in B-cells.</w:t>
      </w:r>
    </w:p>
    <w:p w14:paraId="727BF8F1" w14:textId="77777777" w:rsidR="0076711B" w:rsidRDefault="00030CF4">
      <w:pPr>
        <w:pStyle w:val="Standaard2"/>
      </w:pPr>
      <w:r>
        <w:rPr>
          <w:noProof/>
        </w:rPr>
        <w:drawing>
          <wp:inline distT="0" distB="0" distL="0" distR="0" wp14:anchorId="17799588" wp14:editId="2E6A356F">
            <wp:extent cx="4838700" cy="428625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4838700" cy="4286250"/>
                    </a:xfrm>
                    <a:prstGeom prst="rect">
                      <a:avLst/>
                    </a:prstGeom>
                    <a:noFill/>
                    <a:ln w="9525">
                      <a:noFill/>
                      <a:miter lim="800000"/>
                      <a:headEnd/>
                      <a:tailEnd/>
                    </a:ln>
                  </pic:spPr>
                </pic:pic>
              </a:graphicData>
            </a:graphic>
          </wp:inline>
        </w:drawing>
      </w:r>
    </w:p>
    <w:p w14:paraId="190A39CD" w14:textId="77777777" w:rsidR="00C21463" w:rsidRDefault="00B56333" w:rsidP="00C21463">
      <w:pPr>
        <w:pStyle w:val="Kop1"/>
      </w:pPr>
      <w:r>
        <w:lastRenderedPageBreak/>
        <w:t xml:space="preserve">Figure S3. </w:t>
      </w:r>
      <w:r w:rsidR="00C21463">
        <w:t xml:space="preserve">Expression of module eQTL genes in </w:t>
      </w:r>
      <w:r w:rsidR="00354C25">
        <w:t xml:space="preserve">BLUEPRINT </w:t>
      </w:r>
      <w:r w:rsidR="00C21463">
        <w:t>data</w:t>
      </w:r>
      <w:r w:rsidR="00354C25">
        <w:t xml:space="preserve"> and their replication in previously reported cell-type-specific datasets</w:t>
      </w:r>
    </w:p>
    <w:p w14:paraId="385837E1" w14:textId="3376ECAB" w:rsidR="00C21463" w:rsidRPr="000D19FA" w:rsidRDefault="000D19FA" w:rsidP="000D19FA">
      <w:pPr>
        <w:rPr>
          <w:color w:val="auto"/>
        </w:rPr>
      </w:pPr>
      <w:r>
        <w:rPr>
          <w:noProof/>
        </w:rPr>
        <w:drawing>
          <wp:anchor distT="0" distB="0" distL="114300" distR="114300" simplePos="0" relativeHeight="251658240" behindDoc="0" locked="0" layoutInCell="1" allowOverlap="1" wp14:anchorId="3364A21B" wp14:editId="3721D0E1">
            <wp:simplePos x="0" y="0"/>
            <wp:positionH relativeFrom="column">
              <wp:posOffset>-508000</wp:posOffset>
            </wp:positionH>
            <wp:positionV relativeFrom="paragraph">
              <wp:posOffset>3366770</wp:posOffset>
            </wp:positionV>
            <wp:extent cx="6087110" cy="3593465"/>
            <wp:effectExtent l="0" t="0" r="8890" b="698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icationFigureConcept1.png"/>
                    <pic:cNvPicPr/>
                  </pic:nvPicPr>
                  <pic:blipFill>
                    <a:blip r:embed="rId11">
                      <a:extLst>
                        <a:ext uri="{28A0092B-C50C-407E-A947-70E740481C1C}">
                          <a14:useLocalDpi xmlns:a14="http://schemas.microsoft.com/office/drawing/2010/main" val="0"/>
                        </a:ext>
                      </a:extLst>
                    </a:blip>
                    <a:stretch>
                      <a:fillRect/>
                    </a:stretch>
                  </pic:blipFill>
                  <pic:spPr>
                    <a:xfrm>
                      <a:off x="0" y="0"/>
                      <a:ext cx="6087110" cy="3593465"/>
                    </a:xfrm>
                    <a:prstGeom prst="rect">
                      <a:avLst/>
                    </a:prstGeom>
                  </pic:spPr>
                </pic:pic>
              </a:graphicData>
            </a:graphic>
            <wp14:sizeRelH relativeFrom="page">
              <wp14:pctWidth>0</wp14:pctWidth>
            </wp14:sizeRelH>
            <wp14:sizeRelV relativeFrom="page">
              <wp14:pctHeight>0</wp14:pctHeight>
            </wp14:sizeRelV>
          </wp:anchor>
        </w:drawing>
      </w:r>
      <w:r>
        <w:t xml:space="preserve">(A) </w:t>
      </w:r>
      <w:r w:rsidR="00C21463">
        <w:t xml:space="preserve">For each module we selected the genes with an eQTL affected by this module. We looked up the expression of these genes within the relevant BLUEPRINT cell types and used a t-test to compare the expression within each cell type to the other cell types. The z-score of each test is shown on the </w:t>
      </w:r>
      <w:proofErr w:type="spellStart"/>
      <w:r w:rsidR="00C21463">
        <w:t>heatmap</w:t>
      </w:r>
      <w:proofErr w:type="spellEnd"/>
      <w:r w:rsidR="00C21463">
        <w:t>.</w:t>
      </w:r>
      <w:r w:rsidR="00354C25">
        <w:t xml:space="preserve"> (B) We show the overlap with cell-type-specific eQTLs reported previously in cell sorted datasets (neutrophil-specific </w:t>
      </w:r>
      <w:proofErr w:type="spellStart"/>
      <w:r w:rsidR="00354C25">
        <w:t>eQTLs</w:t>
      </w:r>
      <w:proofErr w:type="spellEnd"/>
      <w:r w:rsidR="00354C25">
        <w:t xml:space="preserve">: </w:t>
      </w:r>
      <w:proofErr w:type="spellStart"/>
      <w:r w:rsidR="00354C25">
        <w:t>Naranbhai</w:t>
      </w:r>
      <w:proofErr w:type="spellEnd"/>
      <w:r w:rsidR="00354C25">
        <w:t xml:space="preserve"> </w:t>
      </w:r>
      <w:r w:rsidR="00354C25" w:rsidRPr="000D19FA">
        <w:rPr>
          <w:i/>
        </w:rPr>
        <w:t>et al.</w:t>
      </w:r>
      <w:r w:rsidR="00354C25">
        <w:t xml:space="preserve">, </w:t>
      </w:r>
      <w:r w:rsidR="00354C25" w:rsidRPr="000D19FA">
        <w:rPr>
          <w:iCs/>
          <w:noProof/>
          <w:szCs w:val="24"/>
        </w:rPr>
        <w:t>Nat. Commun</w:t>
      </w:r>
      <w:r w:rsidR="00354C25" w:rsidRPr="000D19FA">
        <w:rPr>
          <w:i/>
          <w:iCs/>
          <w:noProof/>
          <w:szCs w:val="24"/>
        </w:rPr>
        <w:t>.</w:t>
      </w:r>
      <w:r w:rsidR="00354C25" w:rsidRPr="000D19FA">
        <w:rPr>
          <w:iCs/>
          <w:noProof/>
          <w:szCs w:val="24"/>
        </w:rPr>
        <w:t xml:space="preserve"> 2015; T-cell and monocyte-specific eQTLs: Raj </w:t>
      </w:r>
      <w:r w:rsidR="00354C25" w:rsidRPr="000D19FA">
        <w:rPr>
          <w:i/>
          <w:iCs/>
          <w:noProof/>
          <w:szCs w:val="24"/>
        </w:rPr>
        <w:t>et al</w:t>
      </w:r>
      <w:r w:rsidR="00354C25" w:rsidRPr="000D19FA">
        <w:rPr>
          <w:iCs/>
          <w:noProof/>
          <w:szCs w:val="24"/>
        </w:rPr>
        <w:t>., Science, 2014).</w:t>
      </w:r>
      <w:r w:rsidR="007D2D1B" w:rsidRPr="000D19FA">
        <w:rPr>
          <w:iCs/>
          <w:noProof/>
          <w:szCs w:val="24"/>
        </w:rPr>
        <w:t xml:space="preserve"> eQTLs significantly interacting with the 10 modules and their proxies with r</w:t>
      </w:r>
      <w:r w:rsidR="007D2D1B" w:rsidRPr="000D19FA">
        <w:rPr>
          <w:iCs/>
          <w:noProof/>
          <w:szCs w:val="24"/>
          <w:vertAlign w:val="superscript"/>
        </w:rPr>
        <w:t>2</w:t>
      </w:r>
      <w:r w:rsidR="007D2D1B" w:rsidRPr="000D19FA">
        <w:rPr>
          <w:iCs/>
          <w:noProof/>
          <w:szCs w:val="24"/>
        </w:rPr>
        <w:t xml:space="preserve"> &gt; 0.8 in the GoNL dataset were used to calculate the overlap. Fisher exact test was performed to compare the replication of each module to other modules. log</w:t>
      </w:r>
      <w:r w:rsidR="007D2D1B" w:rsidRPr="000D19FA">
        <w:rPr>
          <w:iCs/>
          <w:noProof/>
          <w:szCs w:val="24"/>
          <w:vertAlign w:val="subscript"/>
        </w:rPr>
        <w:t>2</w:t>
      </w:r>
      <w:r w:rsidR="007D2D1B" w:rsidRPr="000D19FA">
        <w:rPr>
          <w:iCs/>
          <w:noProof/>
          <w:szCs w:val="24"/>
        </w:rPr>
        <w:t xml:space="preserve"> transformed odds ratios of enrichments are plotted</w:t>
      </w:r>
      <w:r w:rsidR="00CC59F1" w:rsidRPr="000D19FA">
        <w:rPr>
          <w:iCs/>
          <w:noProof/>
          <w:szCs w:val="24"/>
        </w:rPr>
        <w:t xml:space="preserve"> (significant effects in color, non-significant effects in grey)</w:t>
      </w:r>
      <w:r w:rsidR="007D2D1B" w:rsidRPr="000D19FA">
        <w:rPr>
          <w:iCs/>
          <w:noProof/>
          <w:szCs w:val="24"/>
        </w:rPr>
        <w:t>.</w:t>
      </w:r>
      <w:r w:rsidR="00B56228" w:rsidRPr="000D19FA">
        <w:rPr>
          <w:iCs/>
          <w:noProof/>
          <w:szCs w:val="24"/>
        </w:rPr>
        <w:t xml:space="preserve"> </w:t>
      </w:r>
      <w:r w:rsidR="00B56228" w:rsidRPr="000D19FA">
        <w:rPr>
          <w:color w:val="auto"/>
          <w:highlight w:val="white"/>
        </w:rPr>
        <w:t xml:space="preserve">We saw that neutrophil-specific </w:t>
      </w:r>
      <w:proofErr w:type="spellStart"/>
      <w:r w:rsidR="00B56228" w:rsidRPr="000D19FA">
        <w:rPr>
          <w:color w:val="auto"/>
          <w:highlight w:val="white"/>
        </w:rPr>
        <w:t>eQTLs</w:t>
      </w:r>
      <w:proofErr w:type="spellEnd"/>
      <w:r w:rsidR="00B56228" w:rsidRPr="000D19FA">
        <w:rPr>
          <w:color w:val="auto"/>
          <w:highlight w:val="white"/>
        </w:rPr>
        <w:t xml:space="preserve"> reported in </w:t>
      </w:r>
      <w:proofErr w:type="spellStart"/>
      <w:r w:rsidR="00B56228" w:rsidRPr="000D19FA">
        <w:rPr>
          <w:color w:val="auto"/>
          <w:highlight w:val="white"/>
        </w:rPr>
        <w:t>Naranbhai</w:t>
      </w:r>
      <w:proofErr w:type="spellEnd"/>
      <w:r w:rsidR="00B56228" w:rsidRPr="000D19FA">
        <w:rPr>
          <w:color w:val="auto"/>
          <w:highlight w:val="white"/>
        </w:rPr>
        <w:t xml:space="preserve"> et al. indeed show a strong enrichment among module 1 eQTLs (Fisher exact p-value = 4 x 10</w:t>
      </w:r>
      <w:r w:rsidR="00B56228" w:rsidRPr="000D19FA">
        <w:rPr>
          <w:color w:val="auto"/>
          <w:highlight w:val="white"/>
          <w:vertAlign w:val="superscript"/>
        </w:rPr>
        <w:t>-22</w:t>
      </w:r>
      <w:r w:rsidR="00B56228" w:rsidRPr="000D19FA">
        <w:rPr>
          <w:color w:val="auto"/>
          <w:highlight w:val="white"/>
        </w:rPr>
        <w:t>); CD4+ T-cell eQTLs replicate better in module 2 eQTLs, as compared to eQTL in other modules (p-value = 5.57 x 10</w:t>
      </w:r>
      <w:r w:rsidR="00B56228" w:rsidRPr="000D19FA">
        <w:rPr>
          <w:color w:val="auto"/>
          <w:highlight w:val="white"/>
          <w:vertAlign w:val="superscript"/>
        </w:rPr>
        <w:t>-12</w:t>
      </w:r>
      <w:r w:rsidR="00B56228" w:rsidRPr="000D19FA">
        <w:rPr>
          <w:color w:val="auto"/>
          <w:highlight w:val="white"/>
        </w:rPr>
        <w:t>).</w:t>
      </w:r>
      <w:r w:rsidR="00B56228" w:rsidRPr="000D19FA">
        <w:rPr>
          <w:i/>
          <w:color w:val="auto"/>
        </w:rPr>
        <w:t xml:space="preserve"> </w:t>
      </w:r>
      <w:r w:rsidR="00B56228" w:rsidRPr="000D19FA">
        <w:rPr>
          <w:color w:val="auto"/>
        </w:rPr>
        <w:t>Replication in monocytes did not yield significant results for monocyte / macrophage module 5</w:t>
      </w:r>
      <w:r w:rsidR="00CC59F1" w:rsidRPr="000D19FA">
        <w:rPr>
          <w:color w:val="auto"/>
        </w:rPr>
        <w:t>.</w:t>
      </w:r>
      <w:bookmarkStart w:id="1" w:name="_GoBack"/>
      <w:bookmarkEnd w:id="1"/>
    </w:p>
    <w:p w14:paraId="6D34D60A" w14:textId="77777777" w:rsidR="00AD6BE4" w:rsidRPr="00354C25" w:rsidRDefault="00AD6BE4" w:rsidP="000D19FA"/>
    <w:p w14:paraId="2B647461" w14:textId="1D3FCBB7" w:rsidR="00C21463" w:rsidRDefault="00C21463" w:rsidP="00C21463"/>
    <w:p w14:paraId="47249665" w14:textId="303C0FE9" w:rsidR="0076711B" w:rsidRDefault="00030CF4" w:rsidP="00761D87">
      <w:pPr>
        <w:pStyle w:val="Kop1"/>
      </w:pPr>
      <w:r>
        <w:lastRenderedPageBreak/>
        <w:t xml:space="preserve">Figure </w:t>
      </w:r>
      <w:r w:rsidR="00C21463">
        <w:t>S4</w:t>
      </w:r>
      <w:r>
        <w:t>. Interaction plots for various diseases</w:t>
      </w:r>
    </w:p>
    <w:p w14:paraId="61AA68FF" w14:textId="77777777" w:rsidR="0076711B" w:rsidRDefault="00030CF4">
      <w:pPr>
        <w:pStyle w:val="Standaard1"/>
      </w:pPr>
      <w:r>
        <w:rPr>
          <w:i/>
          <w:color w:val="00000A"/>
        </w:rPr>
        <w:t>Provided separately. For legend, please consult legend to main Figure 3.</w:t>
      </w:r>
    </w:p>
    <w:p w14:paraId="618AE357" w14:textId="77777777" w:rsidR="0076711B" w:rsidRDefault="0076711B">
      <w:pPr>
        <w:pStyle w:val="Standaard1"/>
      </w:pPr>
    </w:p>
    <w:p w14:paraId="28405F3E" w14:textId="77777777" w:rsidR="0076711B" w:rsidRDefault="0076711B" w:rsidP="00761D87"/>
    <w:p w14:paraId="489290CF" w14:textId="0B3B3D7B" w:rsidR="0076711B" w:rsidRDefault="00030CF4" w:rsidP="00761D87">
      <w:pPr>
        <w:pStyle w:val="Kop1"/>
      </w:pPr>
      <w:r>
        <w:lastRenderedPageBreak/>
        <w:t xml:space="preserve">Figure </w:t>
      </w:r>
      <w:r w:rsidR="00C21463">
        <w:t>S5</w:t>
      </w:r>
      <w:r>
        <w:t>. Combining gene- and exon-level eQTLs can help to explain gene expression regulation</w:t>
      </w:r>
    </w:p>
    <w:p w14:paraId="39CA3363" w14:textId="77777777" w:rsidR="0076711B" w:rsidRPr="007C4B95" w:rsidRDefault="00D82178" w:rsidP="00761D87">
      <w:r w:rsidRPr="007C4B95">
        <w:t xml:space="preserve">The </w:t>
      </w:r>
      <w:r w:rsidRPr="00AF0D64">
        <w:rPr>
          <w:i/>
        </w:rPr>
        <w:t xml:space="preserve">CD226 </w:t>
      </w:r>
      <w:r w:rsidRPr="007C4B95">
        <w:t xml:space="preserve">locus is shown, and exon-level eQTLs for SNP rs727088 </w:t>
      </w:r>
      <w:r w:rsidR="007C4B95" w:rsidRPr="007C4B95">
        <w:t>are shown. E</w:t>
      </w:r>
      <w:r w:rsidRPr="007C4B95">
        <w:t xml:space="preserve">xons </w:t>
      </w:r>
      <w:r w:rsidR="007C4B95" w:rsidRPr="007C4B95">
        <w:t xml:space="preserve">unique to the NMD transcripts </w:t>
      </w:r>
      <w:r w:rsidRPr="007C4B95">
        <w:t>s</w:t>
      </w:r>
      <w:r w:rsidR="007C4B95" w:rsidRPr="007C4B95">
        <w:t>how eQTL effects, whereas other exons</w:t>
      </w:r>
      <w:r w:rsidRPr="007C4B95">
        <w:t xml:space="preserve"> do not.</w:t>
      </w:r>
    </w:p>
    <w:p w14:paraId="1D221CCE" w14:textId="77777777" w:rsidR="0076711B" w:rsidRDefault="007C4B95" w:rsidP="00761D87">
      <w:r>
        <w:rPr>
          <w:noProof/>
        </w:rPr>
        <w:drawing>
          <wp:inline distT="0" distB="0" distL="0" distR="0" wp14:anchorId="25D4F7CD" wp14:editId="76332DFD">
            <wp:extent cx="5274310" cy="279336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93365"/>
                    </a:xfrm>
                    <a:prstGeom prst="rect">
                      <a:avLst/>
                    </a:prstGeom>
                  </pic:spPr>
                </pic:pic>
              </a:graphicData>
            </a:graphic>
          </wp:inline>
        </w:drawing>
      </w:r>
    </w:p>
    <w:p w14:paraId="40B7DB62" w14:textId="7AB2575F" w:rsidR="00761D87" w:rsidRDefault="00030CF4" w:rsidP="00761D87">
      <w:pPr>
        <w:pStyle w:val="Kop1"/>
      </w:pPr>
      <w:r>
        <w:lastRenderedPageBreak/>
        <w:t xml:space="preserve">Figure </w:t>
      </w:r>
      <w:r w:rsidR="00C21463">
        <w:t>S6</w:t>
      </w:r>
      <w:r>
        <w:t>. Genotype concordance and heterozygosity rate per sample for each biobank</w:t>
      </w:r>
    </w:p>
    <w:p w14:paraId="6868228E" w14:textId="77777777" w:rsidR="0076711B" w:rsidRDefault="00AF0D64" w:rsidP="00761D87">
      <w:r w:rsidRPr="00AF0D64">
        <w:t>Genotype concordance was calculated per sample as the correlation of imputed microarray genotypes with genotypes called from RNA-seq data. The heterozygosity rate was estimated for both imputed microarray genotypes and RNA-seq genotypes as a ratio of heterozygous samples to all samples. In red we show the empirical threshold used to identify outliers.</w:t>
      </w:r>
      <w:r w:rsidR="00030CF4">
        <w:rPr>
          <w:noProof/>
        </w:rPr>
        <w:drawing>
          <wp:inline distT="0" distB="0" distL="0" distR="0" wp14:anchorId="24783DCB" wp14:editId="33E76A64">
            <wp:extent cx="4144010" cy="7400925"/>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4144010" cy="7400925"/>
                    </a:xfrm>
                    <a:prstGeom prst="rect">
                      <a:avLst/>
                    </a:prstGeom>
                    <a:noFill/>
                    <a:ln w="9525">
                      <a:noFill/>
                      <a:miter lim="800000"/>
                      <a:headEnd/>
                      <a:tailEnd/>
                    </a:ln>
                  </pic:spPr>
                </pic:pic>
              </a:graphicData>
            </a:graphic>
          </wp:inline>
        </w:drawing>
      </w:r>
    </w:p>
    <w:p w14:paraId="7E028743" w14:textId="26CEC07D" w:rsidR="0076711B" w:rsidRDefault="00030CF4" w:rsidP="00761D87">
      <w:pPr>
        <w:pStyle w:val="Kop1"/>
      </w:pPr>
      <w:r>
        <w:lastRenderedPageBreak/>
        <w:t xml:space="preserve">Figure </w:t>
      </w:r>
      <w:r w:rsidR="00C21463">
        <w:t>S7</w:t>
      </w:r>
      <w:r>
        <w:t xml:space="preserve">. Biotypes of </w:t>
      </w:r>
      <w:r>
        <w:rPr>
          <w:i/>
        </w:rPr>
        <w:t>cis-</w:t>
      </w:r>
      <w:r>
        <w:t>regulated genes</w:t>
      </w:r>
    </w:p>
    <w:p w14:paraId="420C01D6" w14:textId="77777777" w:rsidR="0076711B" w:rsidRDefault="00030CF4">
      <w:pPr>
        <w:pStyle w:val="Standaard2"/>
      </w:pPr>
      <w:r>
        <w:t xml:space="preserve">(A) The pie chart shows the biotypes of all </w:t>
      </w:r>
      <w:r>
        <w:rPr>
          <w:i/>
          <w:color w:val="00000A"/>
        </w:rPr>
        <w:t>cis</w:t>
      </w:r>
      <w:r>
        <w:rPr>
          <w:color w:val="00000A"/>
        </w:rPr>
        <w:t xml:space="preserve">-regulated genes (detected in gene-level eQTL mapping) according to </w:t>
      </w:r>
      <w:proofErr w:type="spellStart"/>
      <w:r>
        <w:rPr>
          <w:color w:val="00000A"/>
        </w:rPr>
        <w:t>Ensembl</w:t>
      </w:r>
      <w:proofErr w:type="spellEnd"/>
      <w:r>
        <w:rPr>
          <w:color w:val="00000A"/>
        </w:rPr>
        <w:t xml:space="preserve"> v.71 annotation. “Meta-exons” represent overlapping genes. (B) Gene biotypes were also assigned to genes that we found to be regulated by a GWAS SNP (see methods for description) or by its close proxy (r</w:t>
      </w:r>
      <w:r>
        <w:rPr>
          <w:color w:val="00000A"/>
          <w:vertAlign w:val="superscript"/>
        </w:rPr>
        <w:t xml:space="preserve">2 </w:t>
      </w:r>
      <w:r>
        <w:rPr>
          <w:color w:val="00000A"/>
        </w:rPr>
        <w:t>≥ 0.8).</w:t>
      </w:r>
    </w:p>
    <w:p w14:paraId="61AF492E" w14:textId="77777777" w:rsidR="0076711B" w:rsidRDefault="0076711B">
      <w:pPr>
        <w:pStyle w:val="Standaard2"/>
      </w:pPr>
    </w:p>
    <w:p w14:paraId="1C974CC5" w14:textId="77777777" w:rsidR="0076711B" w:rsidRDefault="00030CF4">
      <w:pPr>
        <w:pStyle w:val="Standaard2"/>
      </w:pPr>
      <w:r>
        <w:rPr>
          <w:noProof/>
        </w:rPr>
        <w:drawing>
          <wp:inline distT="0" distB="0" distL="0" distR="0" wp14:anchorId="4FE94968" wp14:editId="43B1F4C5">
            <wp:extent cx="5270500" cy="2635250"/>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270500" cy="2635250"/>
                    </a:xfrm>
                    <a:prstGeom prst="rect">
                      <a:avLst/>
                    </a:prstGeom>
                    <a:noFill/>
                    <a:ln w="9525">
                      <a:noFill/>
                      <a:miter lim="800000"/>
                      <a:headEnd/>
                      <a:tailEnd/>
                    </a:ln>
                  </pic:spPr>
                </pic:pic>
              </a:graphicData>
            </a:graphic>
          </wp:inline>
        </w:drawing>
      </w:r>
    </w:p>
    <w:p w14:paraId="7368D9FC" w14:textId="77777777" w:rsidR="0076711B" w:rsidRDefault="0076711B">
      <w:pPr>
        <w:pStyle w:val="Standaard2"/>
      </w:pPr>
    </w:p>
    <w:p w14:paraId="187F9023" w14:textId="64BB4151" w:rsidR="0076711B" w:rsidRDefault="00030CF4" w:rsidP="00761D87">
      <w:pPr>
        <w:pStyle w:val="Kop1"/>
      </w:pPr>
      <w:r>
        <w:lastRenderedPageBreak/>
        <w:t xml:space="preserve">Figure </w:t>
      </w:r>
      <w:r w:rsidR="00C21463">
        <w:t>S8</w:t>
      </w:r>
      <w:r>
        <w:t>. Overlap of different levels of eQTLs</w:t>
      </w:r>
    </w:p>
    <w:p w14:paraId="70C93E4B" w14:textId="77777777" w:rsidR="0076711B" w:rsidRDefault="00030CF4">
      <w:pPr>
        <w:pStyle w:val="Standaard1"/>
      </w:pPr>
      <w:r>
        <w:t>The figure shows the overlap between different levels of eQTLs in terms of unique SNP-gene pairs. For each level, it shows how many of the SNP-gene pairs identified are also detected on the three other levels.</w:t>
      </w:r>
    </w:p>
    <w:p w14:paraId="7367AA32" w14:textId="77777777" w:rsidR="0076711B" w:rsidRDefault="00030CF4">
      <w:pPr>
        <w:pStyle w:val="Standaard1"/>
      </w:pPr>
      <w:r>
        <w:t xml:space="preserve"> </w:t>
      </w:r>
    </w:p>
    <w:p w14:paraId="6AF9302E" w14:textId="77777777" w:rsidR="0076711B" w:rsidRDefault="00030CF4">
      <w:pPr>
        <w:pStyle w:val="Standaard1"/>
      </w:pPr>
      <w:r>
        <w:rPr>
          <w:noProof/>
        </w:rPr>
        <w:drawing>
          <wp:inline distT="0" distB="0" distL="0" distR="0" wp14:anchorId="1D08092D" wp14:editId="5854D47E">
            <wp:extent cx="4975225" cy="423354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4975225" cy="4233545"/>
                    </a:xfrm>
                    <a:prstGeom prst="rect">
                      <a:avLst/>
                    </a:prstGeom>
                    <a:noFill/>
                    <a:ln w="9525">
                      <a:noFill/>
                      <a:miter lim="800000"/>
                      <a:headEnd/>
                      <a:tailEnd/>
                    </a:ln>
                  </pic:spPr>
                </pic:pic>
              </a:graphicData>
            </a:graphic>
          </wp:inline>
        </w:drawing>
      </w:r>
    </w:p>
    <w:p w14:paraId="74BA43D4" w14:textId="77777777" w:rsidR="0076711B" w:rsidRDefault="0076711B">
      <w:pPr>
        <w:pStyle w:val="Standaard1"/>
      </w:pPr>
    </w:p>
    <w:p w14:paraId="28C9043E" w14:textId="77777777" w:rsidR="0076711B" w:rsidRDefault="0076711B">
      <w:pPr>
        <w:pStyle w:val="Standaard1"/>
      </w:pPr>
    </w:p>
    <w:p w14:paraId="42B48B7A" w14:textId="77777777" w:rsidR="0076711B" w:rsidRDefault="0076711B" w:rsidP="00761D87"/>
    <w:p w14:paraId="23578FB4" w14:textId="77777777" w:rsidR="0076711B" w:rsidRDefault="0076711B" w:rsidP="00761D87"/>
    <w:p w14:paraId="7130B1B2" w14:textId="7EC5AC52" w:rsidR="0076711B" w:rsidRDefault="00030CF4" w:rsidP="00761D87">
      <w:pPr>
        <w:pStyle w:val="Kop1"/>
      </w:pPr>
      <w:r>
        <w:lastRenderedPageBreak/>
        <w:t xml:space="preserve">Figure </w:t>
      </w:r>
      <w:r w:rsidR="00C21463">
        <w:t>S9</w:t>
      </w:r>
      <w:r>
        <w:t xml:space="preserve">. Distance of the </w:t>
      </w:r>
      <w:proofErr w:type="spellStart"/>
      <w:r>
        <w:t>eSNP</w:t>
      </w:r>
      <w:proofErr w:type="spellEnd"/>
      <w:r>
        <w:t xml:space="preserve"> relative to TSS</w:t>
      </w:r>
    </w:p>
    <w:p w14:paraId="741DFA8A" w14:textId="77777777" w:rsidR="0076711B" w:rsidRDefault="00030CF4">
      <w:pPr>
        <w:pStyle w:val="Standaard1"/>
      </w:pPr>
      <w:r>
        <w:t xml:space="preserve">The distribution of the distance from the top </w:t>
      </w:r>
      <w:proofErr w:type="spellStart"/>
      <w:r>
        <w:t>eSNP</w:t>
      </w:r>
      <w:proofErr w:type="spellEnd"/>
      <w:r>
        <w:t xml:space="preserve"> to the TSS site of the </w:t>
      </w:r>
      <w:r>
        <w:rPr>
          <w:i/>
          <w:color w:val="00000A"/>
        </w:rPr>
        <w:t>cis</w:t>
      </w:r>
      <w:r>
        <w:rPr>
          <w:color w:val="00000A"/>
        </w:rPr>
        <w:t>-regulated gene for primary, secondary, tertiary and further levels of independent effects.</w:t>
      </w:r>
    </w:p>
    <w:p w14:paraId="3D216A28" w14:textId="77777777" w:rsidR="0076711B" w:rsidRDefault="0076711B">
      <w:pPr>
        <w:pStyle w:val="Standaard1"/>
      </w:pPr>
    </w:p>
    <w:p w14:paraId="45F25B45" w14:textId="77777777" w:rsidR="0076711B" w:rsidRDefault="00030CF4">
      <w:pPr>
        <w:pStyle w:val="Standaard1"/>
      </w:pPr>
      <w:r>
        <w:rPr>
          <w:noProof/>
        </w:rPr>
        <w:drawing>
          <wp:inline distT="0" distB="0" distL="0" distR="0" wp14:anchorId="4968DB1C" wp14:editId="56AAAC3E">
            <wp:extent cx="4800600" cy="4800600"/>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4800600" cy="4800600"/>
                    </a:xfrm>
                    <a:prstGeom prst="rect">
                      <a:avLst/>
                    </a:prstGeom>
                    <a:noFill/>
                    <a:ln w="9525">
                      <a:noFill/>
                      <a:miter lim="800000"/>
                      <a:headEnd/>
                      <a:tailEnd/>
                    </a:ln>
                  </pic:spPr>
                </pic:pic>
              </a:graphicData>
            </a:graphic>
          </wp:inline>
        </w:drawing>
      </w:r>
    </w:p>
    <w:p w14:paraId="7DA43EA1" w14:textId="77777777" w:rsidR="0076711B" w:rsidRDefault="0076711B" w:rsidP="00761D87"/>
    <w:p w14:paraId="21039B27" w14:textId="0070B536" w:rsidR="0076711B" w:rsidRDefault="00030CF4" w:rsidP="00761D87">
      <w:pPr>
        <w:pStyle w:val="Kop1"/>
      </w:pPr>
      <w:r>
        <w:lastRenderedPageBreak/>
        <w:t xml:space="preserve">Figure </w:t>
      </w:r>
      <w:r w:rsidR="00C21463">
        <w:t>S10</w:t>
      </w:r>
      <w:r>
        <w:t xml:space="preserve">. Distance from </w:t>
      </w:r>
      <w:proofErr w:type="spellStart"/>
      <w:r>
        <w:t>eSNP</w:t>
      </w:r>
      <w:proofErr w:type="spellEnd"/>
      <w:r>
        <w:t xml:space="preserve"> to the exon middle for exon ratio and exon-level eQTLs</w:t>
      </w:r>
    </w:p>
    <w:p w14:paraId="2263F9F7" w14:textId="77777777" w:rsidR="0076711B" w:rsidRDefault="00030CF4" w:rsidP="00761D87">
      <w:r>
        <w:t xml:space="preserve">The distribution of the distance from the middle of exon for the top </w:t>
      </w:r>
      <w:proofErr w:type="spellStart"/>
      <w:r>
        <w:t>eSNP</w:t>
      </w:r>
      <w:proofErr w:type="spellEnd"/>
      <w:r>
        <w:t xml:space="preserve"> per gene was created for exon-level eQTLs and for exon ratio QTLs. Exons belonging to multiple overlapping genes were removed. We used only the eQTLs that were not detected in gene-level eQTL mapping to concentrate on alternative splicing and the eQTLs regulating the expression of the whole gene. </w:t>
      </w:r>
    </w:p>
    <w:p w14:paraId="7079478D" w14:textId="77777777" w:rsidR="0076711B" w:rsidRDefault="00030CF4" w:rsidP="00761D87">
      <w:r>
        <w:rPr>
          <w:noProof/>
        </w:rPr>
        <w:drawing>
          <wp:inline distT="0" distB="0" distL="0" distR="0" wp14:anchorId="6C9EB604" wp14:editId="1FB99C16">
            <wp:extent cx="5262880" cy="383857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262880" cy="3838575"/>
                    </a:xfrm>
                    <a:prstGeom prst="rect">
                      <a:avLst/>
                    </a:prstGeom>
                    <a:noFill/>
                    <a:ln w="9525">
                      <a:noFill/>
                      <a:miter lim="800000"/>
                      <a:headEnd/>
                      <a:tailEnd/>
                    </a:ln>
                  </pic:spPr>
                </pic:pic>
              </a:graphicData>
            </a:graphic>
          </wp:inline>
        </w:drawing>
      </w:r>
    </w:p>
    <w:p w14:paraId="77BAEFB8" w14:textId="77777777" w:rsidR="0076711B" w:rsidRDefault="0076711B" w:rsidP="00761D87"/>
    <w:p w14:paraId="598B5DA7" w14:textId="7EE48FFC" w:rsidR="0076711B" w:rsidRDefault="00030CF4" w:rsidP="00761D87">
      <w:pPr>
        <w:pStyle w:val="Kop1"/>
      </w:pPr>
      <w:r>
        <w:lastRenderedPageBreak/>
        <w:t xml:space="preserve">Figure </w:t>
      </w:r>
      <w:r w:rsidR="00C21463">
        <w:t>S11</w:t>
      </w:r>
      <w:r>
        <w:t>. Disease categories for trait-associated eQTLs</w:t>
      </w:r>
    </w:p>
    <w:p w14:paraId="5294BA97" w14:textId="77777777" w:rsidR="0076711B" w:rsidRDefault="00030CF4">
      <w:pPr>
        <w:pStyle w:val="Standaard2"/>
      </w:pPr>
      <w:r>
        <w:rPr>
          <w:color w:val="00000A"/>
        </w:rPr>
        <w:t xml:space="preserve">For each GWAS trait category, we show the number of </w:t>
      </w:r>
      <w:r>
        <w:rPr>
          <w:i/>
          <w:color w:val="00000A"/>
        </w:rPr>
        <w:t>cis</w:t>
      </w:r>
      <w:r>
        <w:rPr>
          <w:color w:val="00000A"/>
        </w:rPr>
        <w:t>-regulated genes we detect for SNPs (or proxies) associated with these traits. Different colors represent different levels of independent effects.</w:t>
      </w:r>
    </w:p>
    <w:p w14:paraId="2EC7146A" w14:textId="77777777" w:rsidR="0076711B" w:rsidRDefault="00030CF4">
      <w:pPr>
        <w:pStyle w:val="Standaard2"/>
      </w:pPr>
      <w:r>
        <w:rPr>
          <w:noProof/>
        </w:rPr>
        <w:drawing>
          <wp:inline distT="0" distB="0" distL="0" distR="0" wp14:anchorId="2EA5A95F" wp14:editId="245F6FE4">
            <wp:extent cx="5270500" cy="527050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5270500" cy="5270500"/>
                    </a:xfrm>
                    <a:prstGeom prst="rect">
                      <a:avLst/>
                    </a:prstGeom>
                    <a:noFill/>
                    <a:ln w="9525">
                      <a:noFill/>
                      <a:miter lim="800000"/>
                      <a:headEnd/>
                      <a:tailEnd/>
                    </a:ln>
                  </pic:spPr>
                </pic:pic>
              </a:graphicData>
            </a:graphic>
          </wp:inline>
        </w:drawing>
      </w:r>
    </w:p>
    <w:p w14:paraId="2666ED04" w14:textId="2174BFAB" w:rsidR="00761D87" w:rsidRDefault="00030CF4" w:rsidP="00761D87">
      <w:pPr>
        <w:pStyle w:val="Kop1"/>
      </w:pPr>
      <w:r>
        <w:lastRenderedPageBreak/>
        <w:t xml:space="preserve">Figure </w:t>
      </w:r>
      <w:r w:rsidR="00C21463">
        <w:t>S12</w:t>
      </w:r>
      <w:r>
        <w:t>. Distribution of exon ratio QTLs around splice donor or acceptor sites</w:t>
      </w:r>
    </w:p>
    <w:p w14:paraId="559F895E" w14:textId="77777777" w:rsidR="0076711B" w:rsidRDefault="00030CF4" w:rsidP="00761D87">
      <w:r>
        <w:t>Histogram of the fraction and number (indicated on top of the bar) of top exon ratio QTL SNPs (green) and all exon ratio QTL SNPs (blue) around the splice donor (top panel, GU motif) and splice acceptor (bottom panel, AG motif).</w:t>
      </w:r>
    </w:p>
    <w:p w14:paraId="6465CFF6" w14:textId="77777777" w:rsidR="0076711B" w:rsidRDefault="0076711B" w:rsidP="00761D87"/>
    <w:p w14:paraId="30E7F107" w14:textId="77777777" w:rsidR="0076711B" w:rsidRDefault="00030CF4" w:rsidP="00761D87">
      <w:r>
        <w:rPr>
          <w:noProof/>
        </w:rPr>
        <w:drawing>
          <wp:inline distT="0" distB="0" distL="0" distR="0" wp14:anchorId="7C543127" wp14:editId="44EE8F44">
            <wp:extent cx="5270500" cy="356044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5270500" cy="3560445"/>
                    </a:xfrm>
                    <a:prstGeom prst="rect">
                      <a:avLst/>
                    </a:prstGeom>
                    <a:noFill/>
                    <a:ln w="9525">
                      <a:noFill/>
                      <a:miter lim="800000"/>
                      <a:headEnd/>
                      <a:tailEnd/>
                    </a:ln>
                  </pic:spPr>
                </pic:pic>
              </a:graphicData>
            </a:graphic>
          </wp:inline>
        </w:drawing>
      </w:r>
    </w:p>
    <w:p w14:paraId="4D165928" w14:textId="16E9D193" w:rsidR="0076711B" w:rsidRDefault="00030CF4" w:rsidP="00761D87">
      <w:pPr>
        <w:pStyle w:val="Kop1"/>
      </w:pPr>
      <w:r>
        <w:lastRenderedPageBreak/>
        <w:t xml:space="preserve">Figure </w:t>
      </w:r>
      <w:r w:rsidR="00C21463">
        <w:t>S13</w:t>
      </w:r>
      <w:r>
        <w:t>. Classification of splicing events affected by exon ratio QTLs</w:t>
      </w:r>
    </w:p>
    <w:p w14:paraId="6D673589" w14:textId="77777777" w:rsidR="0076711B" w:rsidRDefault="00030CF4" w:rsidP="00761D87">
      <w:r>
        <w:t xml:space="preserve">Distribution of exons affected (green) or not affected (blue) by exon ratio QTLS over diverse splicing categories, as annotated in </w:t>
      </w:r>
      <w:proofErr w:type="spellStart"/>
      <w:r>
        <w:t>Ensembl</w:t>
      </w:r>
      <w:proofErr w:type="spellEnd"/>
      <w:r>
        <w:t xml:space="preserve"> v71. Constitutive exons are not known to be alternatively spliced and are depleted for </w:t>
      </w:r>
      <w:r>
        <w:rPr>
          <w:i/>
        </w:rPr>
        <w:t>cis</w:t>
      </w:r>
      <w:r>
        <w:t xml:space="preserve">-regulated exons, whereas all other splicing events are enriched. </w:t>
      </w:r>
    </w:p>
    <w:p w14:paraId="2B7DB917" w14:textId="77777777" w:rsidR="0076711B" w:rsidRDefault="0076711B" w:rsidP="00761D87"/>
    <w:p w14:paraId="113265A0" w14:textId="77777777" w:rsidR="0076711B" w:rsidRDefault="00030CF4" w:rsidP="00761D87">
      <w:r>
        <w:rPr>
          <w:noProof/>
        </w:rPr>
        <w:drawing>
          <wp:inline distT="0" distB="0" distL="0" distR="0" wp14:anchorId="0EFB0557" wp14:editId="4F0881B8">
            <wp:extent cx="5267960" cy="327152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5267960" cy="3271520"/>
                    </a:xfrm>
                    <a:prstGeom prst="rect">
                      <a:avLst/>
                    </a:prstGeom>
                    <a:noFill/>
                    <a:ln w="9525">
                      <a:noFill/>
                      <a:miter lim="800000"/>
                      <a:headEnd/>
                      <a:tailEnd/>
                    </a:ln>
                  </pic:spPr>
                </pic:pic>
              </a:graphicData>
            </a:graphic>
          </wp:inline>
        </w:drawing>
      </w:r>
    </w:p>
    <w:p w14:paraId="55715C6D" w14:textId="2319AEB3" w:rsidR="0076711B" w:rsidRDefault="00030CF4" w:rsidP="00761D87">
      <w:pPr>
        <w:pStyle w:val="Kop1"/>
      </w:pPr>
      <w:r>
        <w:lastRenderedPageBreak/>
        <w:t xml:space="preserve">Figure </w:t>
      </w:r>
      <w:r w:rsidR="00C21463">
        <w:t>S14</w:t>
      </w:r>
      <w:r>
        <w:t>. An example of an exon ratio QTL overlapping with a hit in the GWAS catalogue</w:t>
      </w:r>
    </w:p>
    <w:p w14:paraId="78F3AF5D" w14:textId="77777777" w:rsidR="0076711B" w:rsidRDefault="00030CF4">
      <w:pPr>
        <w:pStyle w:val="Standaard1"/>
      </w:pPr>
      <w:r>
        <w:rPr>
          <w:color w:val="00000A"/>
        </w:rPr>
        <w:t xml:space="preserve">The top SNP (rs6435550) affects the inclusion of an in-frame 54 nucleotide exon in the </w:t>
      </w:r>
      <w:r>
        <w:rPr>
          <w:i/>
          <w:color w:val="00000A"/>
        </w:rPr>
        <w:t>RPE</w:t>
      </w:r>
      <w:r>
        <w:rPr>
          <w:color w:val="00000A"/>
        </w:rPr>
        <w:t xml:space="preserve"> gene, adding 18 amino acids to the protein (panel A). The inclusion of the exon is dependent on the genotype (panel B). The SNP is in close LD (r</w:t>
      </w:r>
      <w:r>
        <w:rPr>
          <w:color w:val="00000A"/>
          <w:vertAlign w:val="superscript"/>
        </w:rPr>
        <w:t>2</w:t>
      </w:r>
      <w:r>
        <w:rPr>
          <w:color w:val="00000A"/>
        </w:rPr>
        <w:t xml:space="preserve"> = 0.98) with SNP rs7570090. This SNP has been associated with a yet unknown urinary metabolite from an NMR study. The inclusion or exclusion of the protein domain of 18 amino acids may affect the production of </w:t>
      </w:r>
      <w:proofErr w:type="spellStart"/>
      <w:r>
        <w:rPr>
          <w:color w:val="00000A"/>
        </w:rPr>
        <w:t>xylulose</w:t>
      </w:r>
      <w:proofErr w:type="spellEnd"/>
      <w:r>
        <w:rPr>
          <w:color w:val="00000A"/>
        </w:rPr>
        <w:t xml:space="preserve">, and </w:t>
      </w:r>
      <w:proofErr w:type="spellStart"/>
      <w:r>
        <w:rPr>
          <w:color w:val="00000A"/>
        </w:rPr>
        <w:t>xylulose</w:t>
      </w:r>
      <w:proofErr w:type="spellEnd"/>
      <w:r>
        <w:rPr>
          <w:color w:val="00000A"/>
        </w:rPr>
        <w:t xml:space="preserve"> may therefore be the metabolite detected in the NMR study. This example shows how eQTLs for mRNA splicing may generate new hypotheses on the mechanisms underlying GWAS associations.</w:t>
      </w:r>
    </w:p>
    <w:p w14:paraId="379B86F6" w14:textId="77777777" w:rsidR="0076711B" w:rsidRDefault="00030CF4">
      <w:pPr>
        <w:pStyle w:val="Standaard1"/>
      </w:pPr>
      <w:r>
        <w:rPr>
          <w:color w:val="00000A"/>
        </w:rPr>
        <w:t>a.</w:t>
      </w:r>
    </w:p>
    <w:p w14:paraId="64954EBA" w14:textId="77777777" w:rsidR="0076711B" w:rsidRDefault="00030CF4">
      <w:pPr>
        <w:pStyle w:val="Standaard1"/>
      </w:pPr>
      <w:r>
        <w:rPr>
          <w:noProof/>
        </w:rPr>
        <w:drawing>
          <wp:inline distT="0" distB="0" distL="0" distR="0" wp14:anchorId="146542A4" wp14:editId="0BBA5C68">
            <wp:extent cx="7541895" cy="2817495"/>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7541895" cy="2817495"/>
                    </a:xfrm>
                    <a:prstGeom prst="rect">
                      <a:avLst/>
                    </a:prstGeom>
                    <a:noFill/>
                    <a:ln w="9525">
                      <a:noFill/>
                      <a:miter lim="800000"/>
                      <a:headEnd/>
                      <a:tailEnd/>
                    </a:ln>
                  </pic:spPr>
                </pic:pic>
              </a:graphicData>
            </a:graphic>
          </wp:inline>
        </w:drawing>
      </w:r>
    </w:p>
    <w:p w14:paraId="4EFA1AB9" w14:textId="77777777" w:rsidR="0076711B" w:rsidRDefault="00030CF4">
      <w:pPr>
        <w:pStyle w:val="Standaard1"/>
      </w:pPr>
      <w:r>
        <w:rPr>
          <w:color w:val="00000A"/>
        </w:rPr>
        <w:t>b.</w:t>
      </w:r>
    </w:p>
    <w:p w14:paraId="6BE00D49" w14:textId="77777777" w:rsidR="0076711B" w:rsidRDefault="00030CF4">
      <w:pPr>
        <w:pStyle w:val="Standaard1"/>
      </w:pPr>
      <w:r>
        <w:rPr>
          <w:noProof/>
        </w:rPr>
        <w:drawing>
          <wp:inline distT="0" distB="0" distL="0" distR="0" wp14:anchorId="0777B88F" wp14:editId="16EFF0F6">
            <wp:extent cx="2947893" cy="2772136"/>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2947979" cy="2772217"/>
                    </a:xfrm>
                    <a:prstGeom prst="rect">
                      <a:avLst/>
                    </a:prstGeom>
                    <a:noFill/>
                    <a:ln w="9525">
                      <a:noFill/>
                      <a:miter lim="800000"/>
                      <a:headEnd/>
                      <a:tailEnd/>
                    </a:ln>
                  </pic:spPr>
                </pic:pic>
              </a:graphicData>
            </a:graphic>
          </wp:inline>
        </w:drawing>
      </w:r>
    </w:p>
    <w:p w14:paraId="0D6AA0CF" w14:textId="2B4FC8A5" w:rsidR="0076711B" w:rsidRDefault="00030CF4" w:rsidP="00761D87">
      <w:pPr>
        <w:pStyle w:val="Kop1"/>
      </w:pPr>
      <w:r>
        <w:lastRenderedPageBreak/>
        <w:t xml:space="preserve">Figure </w:t>
      </w:r>
      <w:r w:rsidR="00C21463">
        <w:t>S15</w:t>
      </w:r>
      <w:r>
        <w:t xml:space="preserve">. Distance of </w:t>
      </w:r>
      <w:proofErr w:type="spellStart"/>
      <w:r>
        <w:t>polyA</w:t>
      </w:r>
      <w:proofErr w:type="spellEnd"/>
      <w:r>
        <w:t xml:space="preserve"> ratio QTLs to annotated </w:t>
      </w:r>
      <w:proofErr w:type="spellStart"/>
      <w:r>
        <w:t>polyA</w:t>
      </w:r>
      <w:proofErr w:type="spellEnd"/>
      <w:r>
        <w:t xml:space="preserve"> sites</w:t>
      </w:r>
    </w:p>
    <w:p w14:paraId="4EA7DF45" w14:textId="77777777" w:rsidR="0076711B" w:rsidRDefault="00030CF4">
      <w:pPr>
        <w:pStyle w:val="Standaard1"/>
      </w:pPr>
      <w:r>
        <w:rPr>
          <w:color w:val="00000A"/>
        </w:rPr>
        <w:t xml:space="preserve">Density plot of the distance of top </w:t>
      </w:r>
      <w:proofErr w:type="spellStart"/>
      <w:r>
        <w:rPr>
          <w:color w:val="00000A"/>
        </w:rPr>
        <w:t>polyA</w:t>
      </w:r>
      <w:proofErr w:type="spellEnd"/>
      <w:r>
        <w:rPr>
          <w:color w:val="00000A"/>
        </w:rPr>
        <w:t xml:space="preserve"> ratio QTL (green) and all </w:t>
      </w:r>
      <w:proofErr w:type="spellStart"/>
      <w:r>
        <w:rPr>
          <w:color w:val="00000A"/>
        </w:rPr>
        <w:t>polyA</w:t>
      </w:r>
      <w:proofErr w:type="spellEnd"/>
      <w:r>
        <w:rPr>
          <w:color w:val="00000A"/>
        </w:rPr>
        <w:t xml:space="preserve"> ratio QTL SNPs (blue) to the </w:t>
      </w:r>
      <w:proofErr w:type="spellStart"/>
      <w:r>
        <w:rPr>
          <w:color w:val="00000A"/>
        </w:rPr>
        <w:t>polyA</w:t>
      </w:r>
      <w:proofErr w:type="spellEnd"/>
      <w:r>
        <w:rPr>
          <w:color w:val="00000A"/>
        </w:rPr>
        <w:t xml:space="preserve"> site, for which the relative usage is affected by the SNP. </w:t>
      </w:r>
    </w:p>
    <w:p w14:paraId="192D2B24" w14:textId="77777777" w:rsidR="0076711B" w:rsidRDefault="0076711B">
      <w:pPr>
        <w:pStyle w:val="Standaard1"/>
      </w:pPr>
    </w:p>
    <w:p w14:paraId="74DCCC15" w14:textId="77777777" w:rsidR="0076711B" w:rsidRDefault="00030CF4">
      <w:pPr>
        <w:pStyle w:val="Standaard1"/>
      </w:pPr>
      <w:r>
        <w:rPr>
          <w:noProof/>
        </w:rPr>
        <w:drawing>
          <wp:inline distT="0" distB="0" distL="0" distR="0" wp14:anchorId="0DFBCAE3" wp14:editId="0FA31ED0">
            <wp:extent cx="5270500" cy="357251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5270500" cy="3572510"/>
                    </a:xfrm>
                    <a:prstGeom prst="rect">
                      <a:avLst/>
                    </a:prstGeom>
                    <a:noFill/>
                    <a:ln w="9525">
                      <a:noFill/>
                      <a:miter lim="800000"/>
                      <a:headEnd/>
                      <a:tailEnd/>
                    </a:ln>
                  </pic:spPr>
                </pic:pic>
              </a:graphicData>
            </a:graphic>
          </wp:inline>
        </w:drawing>
      </w:r>
    </w:p>
    <w:p w14:paraId="558E30D2" w14:textId="77777777" w:rsidR="0076711B" w:rsidRDefault="0076711B">
      <w:pPr>
        <w:pStyle w:val="Standaard1"/>
      </w:pPr>
    </w:p>
    <w:p w14:paraId="4AF3D768" w14:textId="77777777" w:rsidR="0076711B" w:rsidRDefault="0076711B">
      <w:pPr>
        <w:pStyle w:val="Standaard1"/>
      </w:pPr>
    </w:p>
    <w:p w14:paraId="079B98EF" w14:textId="77777777" w:rsidR="0076711B" w:rsidRDefault="0076711B" w:rsidP="00761D87"/>
    <w:p w14:paraId="7746CEBB" w14:textId="2ED11D96" w:rsidR="0076711B" w:rsidRDefault="00030CF4" w:rsidP="00761D87">
      <w:pPr>
        <w:pStyle w:val="Kop1"/>
      </w:pPr>
      <w:r>
        <w:lastRenderedPageBreak/>
        <w:t xml:space="preserve">Figure </w:t>
      </w:r>
      <w:r w:rsidR="00C21463">
        <w:t>S16</w:t>
      </w:r>
      <w:r>
        <w:t xml:space="preserve">. An example of a </w:t>
      </w:r>
      <w:proofErr w:type="spellStart"/>
      <w:r>
        <w:t>polyA</w:t>
      </w:r>
      <w:proofErr w:type="spellEnd"/>
      <w:r>
        <w:t xml:space="preserve"> ratio QTL overlapping with a hit in the GWAS catalogue </w:t>
      </w:r>
    </w:p>
    <w:p w14:paraId="7275C7D4" w14:textId="77777777" w:rsidR="0076711B" w:rsidRDefault="00030CF4">
      <w:pPr>
        <w:pStyle w:val="Standaard1"/>
      </w:pPr>
      <w:proofErr w:type="spellStart"/>
      <w:r>
        <w:rPr>
          <w:color w:val="00000A"/>
        </w:rPr>
        <w:t>PolyA</w:t>
      </w:r>
      <w:proofErr w:type="spellEnd"/>
      <w:r>
        <w:rPr>
          <w:color w:val="00000A"/>
        </w:rPr>
        <w:t xml:space="preserve"> sites, retrieved from </w:t>
      </w:r>
      <w:proofErr w:type="spellStart"/>
      <w:r>
        <w:rPr>
          <w:color w:val="00000A"/>
        </w:rPr>
        <w:t>polyA_DB</w:t>
      </w:r>
      <w:proofErr w:type="spellEnd"/>
      <w:r>
        <w:rPr>
          <w:color w:val="00000A"/>
        </w:rPr>
        <w:t xml:space="preserve"> and the </w:t>
      </w:r>
      <w:proofErr w:type="spellStart"/>
      <w:r>
        <w:rPr>
          <w:color w:val="00000A"/>
        </w:rPr>
        <w:t>Ensembl</w:t>
      </w:r>
      <w:proofErr w:type="spellEnd"/>
      <w:r>
        <w:rPr>
          <w:color w:val="00000A"/>
        </w:rPr>
        <w:t xml:space="preserve"> database, were used to divide the 3’-UTRs into bins (black bars). </w:t>
      </w:r>
      <w:proofErr w:type="spellStart"/>
      <w:r>
        <w:rPr>
          <w:color w:val="00000A"/>
        </w:rPr>
        <w:t>PolyA</w:t>
      </w:r>
      <w:proofErr w:type="spellEnd"/>
      <w:r>
        <w:rPr>
          <w:color w:val="00000A"/>
        </w:rPr>
        <w:t xml:space="preserve"> ratios were calculated by dividing the coverage in neighboring bins. For the gene </w:t>
      </w:r>
      <w:r>
        <w:rPr>
          <w:i/>
          <w:color w:val="00000A"/>
        </w:rPr>
        <w:t>IRF5</w:t>
      </w:r>
      <w:r>
        <w:rPr>
          <w:color w:val="00000A"/>
        </w:rPr>
        <w:t xml:space="preserve">, we found a significant association between the rs7796963 genotype (Indicated by 0, 1, or 2 on top of the RNA-seq coverage tracks) and the ratio between the penultimate and ultimate 3’-UTR bin. This association has been found before </w:t>
      </w:r>
      <w:r>
        <w:rPr>
          <w:color w:val="00000A"/>
          <w:vertAlign w:val="superscript"/>
        </w:rPr>
        <w:t>1,2</w:t>
      </w:r>
      <w:r>
        <w:rPr>
          <w:color w:val="00000A"/>
        </w:rPr>
        <w:t xml:space="preserve"> using targeted experiments or deepSAGE technology. We now show that </w:t>
      </w:r>
      <w:proofErr w:type="spellStart"/>
      <w:r>
        <w:rPr>
          <w:color w:val="00000A"/>
        </w:rPr>
        <w:t>polyA</w:t>
      </w:r>
      <w:proofErr w:type="spellEnd"/>
      <w:r>
        <w:rPr>
          <w:color w:val="00000A"/>
        </w:rPr>
        <w:t>-QTLs can also be identified based on the coverage patterns in RNA-seq experiments. rs7796963 is in strong LD (r</w:t>
      </w:r>
      <w:r>
        <w:rPr>
          <w:color w:val="00000A"/>
          <w:vertAlign w:val="superscript"/>
        </w:rPr>
        <w:t>2</w:t>
      </w:r>
      <w:r>
        <w:rPr>
          <w:color w:val="00000A"/>
        </w:rPr>
        <w:t xml:space="preserve"> = 0.99) with rs10954213 associated with increased risk for Systemic Lupus Erythematosus.  </w:t>
      </w:r>
    </w:p>
    <w:p w14:paraId="2B7FFF70" w14:textId="77777777" w:rsidR="0076711B" w:rsidRDefault="00030CF4">
      <w:pPr>
        <w:pStyle w:val="Standaard1"/>
      </w:pPr>
      <w:r>
        <w:rPr>
          <w:noProof/>
        </w:rPr>
        <w:drawing>
          <wp:inline distT="0" distB="0" distL="0" distR="0" wp14:anchorId="7FE1DBD0" wp14:editId="16BABAFE">
            <wp:extent cx="5941695" cy="3181985"/>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5941695" cy="3181985"/>
                    </a:xfrm>
                    <a:prstGeom prst="rect">
                      <a:avLst/>
                    </a:prstGeom>
                    <a:noFill/>
                    <a:ln w="9525">
                      <a:noFill/>
                      <a:miter lim="800000"/>
                      <a:headEnd/>
                      <a:tailEnd/>
                    </a:ln>
                  </pic:spPr>
                </pic:pic>
              </a:graphicData>
            </a:graphic>
          </wp:inline>
        </w:drawing>
      </w:r>
    </w:p>
    <w:p w14:paraId="6877230F" w14:textId="77777777" w:rsidR="0076711B" w:rsidRDefault="0076711B">
      <w:pPr>
        <w:pStyle w:val="Standaard1"/>
      </w:pPr>
    </w:p>
    <w:p w14:paraId="3D88D935" w14:textId="77777777" w:rsidR="0076711B" w:rsidRDefault="0076711B" w:rsidP="00761D87"/>
    <w:p w14:paraId="4601892A" w14:textId="77777777" w:rsidR="0076711B" w:rsidRDefault="0076711B" w:rsidP="00761D87"/>
    <w:p w14:paraId="43F7F1F7" w14:textId="2768CD73" w:rsidR="0076711B" w:rsidRDefault="00030CF4" w:rsidP="00761D87">
      <w:pPr>
        <w:pStyle w:val="Kop1"/>
      </w:pPr>
      <w:r>
        <w:lastRenderedPageBreak/>
        <w:t xml:space="preserve">Figure </w:t>
      </w:r>
      <w:r w:rsidR="00C21463">
        <w:t>S17</w:t>
      </w:r>
      <w:r>
        <w:t xml:space="preserve">. Plot of an eQTL having opposite allelic directions in BBMRI and </w:t>
      </w:r>
      <w:proofErr w:type="spellStart"/>
      <w:r>
        <w:t>Geuvadis</w:t>
      </w:r>
      <w:proofErr w:type="spellEnd"/>
    </w:p>
    <w:p w14:paraId="1A0A652D" w14:textId="77777777" w:rsidR="0076711B" w:rsidRDefault="00030CF4">
      <w:pPr>
        <w:pStyle w:val="Standaard1"/>
      </w:pPr>
      <w:r>
        <w:rPr>
          <w:color w:val="00000A"/>
        </w:rPr>
        <w:t xml:space="preserve">The boxplot shows normalized expression of the </w:t>
      </w:r>
      <w:r>
        <w:rPr>
          <w:i/>
          <w:color w:val="00000A"/>
        </w:rPr>
        <w:t>PAM</w:t>
      </w:r>
      <w:r>
        <w:rPr>
          <w:color w:val="00000A"/>
        </w:rPr>
        <w:t xml:space="preserve"> gene in BIOS (upper panel) and in GEUVADIS (lower panel) samples grouped by their genotype of rs2432162.</w:t>
      </w:r>
    </w:p>
    <w:p w14:paraId="1BD83E06" w14:textId="77777777" w:rsidR="0076711B" w:rsidRDefault="0076711B">
      <w:pPr>
        <w:pStyle w:val="Standaard1"/>
      </w:pPr>
    </w:p>
    <w:p w14:paraId="51D03B61" w14:textId="77777777" w:rsidR="0076711B" w:rsidRDefault="00030CF4">
      <w:pPr>
        <w:pStyle w:val="Standaard1"/>
      </w:pPr>
      <w:r>
        <w:rPr>
          <w:noProof/>
        </w:rPr>
        <w:drawing>
          <wp:inline distT="0" distB="0" distL="0" distR="0" wp14:anchorId="14A462A4" wp14:editId="0168E22F">
            <wp:extent cx="5132070" cy="364299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5132070" cy="3642995"/>
                    </a:xfrm>
                    <a:prstGeom prst="rect">
                      <a:avLst/>
                    </a:prstGeom>
                    <a:noFill/>
                    <a:ln w="9525">
                      <a:noFill/>
                      <a:miter lim="800000"/>
                      <a:headEnd/>
                      <a:tailEnd/>
                    </a:ln>
                  </pic:spPr>
                </pic:pic>
              </a:graphicData>
            </a:graphic>
          </wp:inline>
        </w:drawing>
      </w:r>
    </w:p>
    <w:p w14:paraId="3C82D1DA" w14:textId="77777777" w:rsidR="0076711B" w:rsidRDefault="0076711B" w:rsidP="00761D87"/>
    <w:p w14:paraId="01B97B54" w14:textId="77777777" w:rsidR="0076711B" w:rsidRDefault="0076711B" w:rsidP="00761D87"/>
    <w:p w14:paraId="43BD04E8" w14:textId="7A9E72F7" w:rsidR="0076711B" w:rsidRDefault="00030CF4" w:rsidP="00761D87">
      <w:pPr>
        <w:pStyle w:val="Kop1"/>
      </w:pPr>
      <w:r>
        <w:lastRenderedPageBreak/>
        <w:t xml:space="preserve">Figure </w:t>
      </w:r>
      <w:r w:rsidR="00C21463">
        <w:t>S18</w:t>
      </w:r>
      <w:r>
        <w:t>. Independent effects in GEUVADIS dataset and in a random subset of BIOS of the same size</w:t>
      </w:r>
    </w:p>
    <w:p w14:paraId="45720563" w14:textId="77777777" w:rsidR="0076711B" w:rsidRDefault="00030CF4">
      <w:pPr>
        <w:pStyle w:val="Standaard1"/>
      </w:pPr>
      <w:r>
        <w:rPr>
          <w:color w:val="00000A"/>
        </w:rPr>
        <w:t>The number of genes having primary, secondary, tertiary and higher level effects in gene level eQTL mapping for the GEUVADIS dataset (left) and for a random subset of BIOS samples of the same size (right).</w:t>
      </w:r>
    </w:p>
    <w:p w14:paraId="42456DEC" w14:textId="77777777" w:rsidR="0076711B" w:rsidRDefault="00030CF4">
      <w:pPr>
        <w:pStyle w:val="Standaard1"/>
      </w:pPr>
      <w:r>
        <w:rPr>
          <w:noProof/>
        </w:rPr>
        <w:drawing>
          <wp:inline distT="0" distB="0" distL="0" distR="0" wp14:anchorId="2FB9C5D2" wp14:editId="04E6CB3B">
            <wp:extent cx="5943600" cy="297180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14:paraId="7C96D118" w14:textId="77777777" w:rsidR="0076711B" w:rsidRDefault="0076711B">
      <w:pPr>
        <w:pStyle w:val="Standaard1"/>
      </w:pPr>
    </w:p>
    <w:p w14:paraId="40E0882B" w14:textId="77777777" w:rsidR="0076711B" w:rsidRDefault="0076711B" w:rsidP="00761D87"/>
    <w:p w14:paraId="00D4BC9B" w14:textId="2BAD64CB" w:rsidR="0076711B" w:rsidRDefault="00030CF4" w:rsidP="00761D87">
      <w:pPr>
        <w:pStyle w:val="Kop1"/>
      </w:pPr>
      <w:r>
        <w:lastRenderedPageBreak/>
        <w:t xml:space="preserve">Figure </w:t>
      </w:r>
      <w:r w:rsidR="00C21463">
        <w:t>S19</w:t>
      </w:r>
      <w:r>
        <w:t>. Histogram of RNA blood sampling age distribution per biobank</w:t>
      </w:r>
    </w:p>
    <w:p w14:paraId="7C5437C2" w14:textId="77777777" w:rsidR="0076711B" w:rsidRDefault="00030CF4">
      <w:pPr>
        <w:pStyle w:val="Standaard1"/>
      </w:pPr>
      <w:r>
        <w:rPr>
          <w:color w:val="00000A"/>
        </w:rPr>
        <w:t>The histogram shows the distribution of sample age for each of the four biobanks.</w:t>
      </w:r>
    </w:p>
    <w:p w14:paraId="45EC092F" w14:textId="77777777" w:rsidR="0076711B" w:rsidRDefault="00030CF4">
      <w:pPr>
        <w:pStyle w:val="Standaard1"/>
      </w:pPr>
      <w:r>
        <w:rPr>
          <w:noProof/>
        </w:rPr>
        <w:drawing>
          <wp:inline distT="0" distB="0" distL="0" distR="0" wp14:anchorId="250F4F6B" wp14:editId="576687CF">
            <wp:extent cx="5270500" cy="527050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5270500" cy="5270500"/>
                    </a:xfrm>
                    <a:prstGeom prst="rect">
                      <a:avLst/>
                    </a:prstGeom>
                    <a:noFill/>
                    <a:ln w="9525">
                      <a:noFill/>
                      <a:miter lim="800000"/>
                      <a:headEnd/>
                      <a:tailEnd/>
                    </a:ln>
                  </pic:spPr>
                </pic:pic>
              </a:graphicData>
            </a:graphic>
          </wp:inline>
        </w:drawing>
      </w:r>
    </w:p>
    <w:p w14:paraId="0B293142" w14:textId="77777777" w:rsidR="0076711B" w:rsidRDefault="00030CF4">
      <w:pPr>
        <w:pStyle w:val="Standaard1"/>
      </w:pPr>
      <w:r>
        <w:rPr>
          <w:color w:val="00000A"/>
        </w:rPr>
        <w:t xml:space="preserve"> </w:t>
      </w:r>
    </w:p>
    <w:p w14:paraId="46537B01" w14:textId="77777777" w:rsidR="0076711B" w:rsidRDefault="0076711B">
      <w:pPr>
        <w:pStyle w:val="Standaard1"/>
      </w:pPr>
    </w:p>
    <w:p w14:paraId="0BA2C0E4" w14:textId="77777777" w:rsidR="0076711B" w:rsidRDefault="0076711B">
      <w:pPr>
        <w:pStyle w:val="Standaard1"/>
      </w:pPr>
    </w:p>
    <w:p w14:paraId="7DCE910A" w14:textId="77777777" w:rsidR="0076711B" w:rsidRDefault="0076711B">
      <w:pPr>
        <w:pStyle w:val="Standaard1"/>
      </w:pPr>
    </w:p>
    <w:p w14:paraId="789F1EE5" w14:textId="36008B5A" w:rsidR="0076711B" w:rsidRDefault="00030CF4" w:rsidP="00761D87">
      <w:pPr>
        <w:pStyle w:val="Kop1"/>
      </w:pPr>
      <w:r>
        <w:lastRenderedPageBreak/>
        <w:t xml:space="preserve">Figure </w:t>
      </w:r>
      <w:r w:rsidR="00C21463">
        <w:t>S20</w:t>
      </w:r>
      <w:r>
        <w:t xml:space="preserve">. Plots of </w:t>
      </w:r>
      <w:proofErr w:type="spellStart"/>
      <w:r>
        <w:t>picard</w:t>
      </w:r>
      <w:proofErr w:type="spellEnd"/>
      <w:r>
        <w:t xml:space="preserve"> metrics results and the outlier samples removed based on these metrics</w:t>
      </w:r>
    </w:p>
    <w:p w14:paraId="0B71378C" w14:textId="77777777" w:rsidR="0076711B" w:rsidRDefault="00030CF4" w:rsidP="00761D87">
      <w:r>
        <w:t>Provided separately</w:t>
      </w:r>
      <w:r w:rsidR="007C4B95">
        <w:t xml:space="preserve">. </w:t>
      </w:r>
    </w:p>
    <w:p w14:paraId="116CAF2F" w14:textId="77777777" w:rsidR="007C4B95" w:rsidRPr="007C4B95" w:rsidRDefault="007C4B95" w:rsidP="00761D87">
      <w:r w:rsidRPr="007C4B95">
        <w:t xml:space="preserve">To ensure normality assumptions in the linear model, used for ascertaining interactions, we excluded </w:t>
      </w:r>
      <w:r>
        <w:t>outlier samples</w:t>
      </w:r>
      <w:r w:rsidRPr="007C4B95">
        <w:t>. We excluded a set of samples (indicated in red) that showed Picard characteristics that deviated from the rest of the samples.</w:t>
      </w:r>
    </w:p>
    <w:p w14:paraId="11894FD4" w14:textId="77777777" w:rsidR="0076711B" w:rsidRDefault="0076711B" w:rsidP="00761D87"/>
    <w:p w14:paraId="5BC842DE" w14:textId="4DEEB9BC" w:rsidR="0076711B" w:rsidRDefault="00030CF4" w:rsidP="00CC59F1">
      <w:pPr>
        <w:pStyle w:val="Kop1"/>
      </w:pPr>
      <w:r>
        <w:lastRenderedPageBreak/>
        <w:t xml:space="preserve">Figure </w:t>
      </w:r>
      <w:r w:rsidR="00C21463">
        <w:t>S21</w:t>
      </w:r>
      <w:r>
        <w:t>. Accuracy of cell count prediction method</w:t>
      </w:r>
    </w:p>
    <w:p w14:paraId="2CBA2A19" w14:textId="77777777" w:rsidR="0076711B" w:rsidRDefault="00030CF4">
      <w:pPr>
        <w:pStyle w:val="Standaard1"/>
      </w:pPr>
      <w:r>
        <w:rPr>
          <w:color w:val="00000A"/>
        </w:rPr>
        <w:t>The prediction accuracy of cell percentages in LLD and LLS cohorts (where the actual cell counts are available) is shown based on 100 times cross-validation. The correlations (Pearson and Spearman) of actual cell percentages with predicted cell percentages is shown on the boxplots for each cell type.</w:t>
      </w:r>
    </w:p>
    <w:p w14:paraId="7CEDC6B0" w14:textId="77777777" w:rsidR="0076711B" w:rsidRDefault="0076711B" w:rsidP="00761D87"/>
    <w:p w14:paraId="48EC4453" w14:textId="77777777" w:rsidR="0076711B" w:rsidRDefault="00030CF4" w:rsidP="00761D87">
      <w:r>
        <w:rPr>
          <w:noProof/>
        </w:rPr>
        <w:drawing>
          <wp:inline distT="0" distB="0" distL="0" distR="0" wp14:anchorId="137500C8" wp14:editId="0AABBC18">
            <wp:extent cx="5270500" cy="3513455"/>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5270500" cy="3513455"/>
                    </a:xfrm>
                    <a:prstGeom prst="rect">
                      <a:avLst/>
                    </a:prstGeom>
                    <a:noFill/>
                    <a:ln w="9525">
                      <a:noFill/>
                      <a:miter lim="800000"/>
                      <a:headEnd/>
                      <a:tailEnd/>
                    </a:ln>
                  </pic:spPr>
                </pic:pic>
              </a:graphicData>
            </a:graphic>
          </wp:inline>
        </w:drawing>
      </w:r>
    </w:p>
    <w:p w14:paraId="4775D7BE" w14:textId="0AC2A4A7" w:rsidR="006B7BF5" w:rsidRPr="001532C3" w:rsidRDefault="006B7BF5" w:rsidP="001532C3"/>
    <w:sectPr w:rsidR="006B7BF5" w:rsidRPr="001532C3">
      <w:pgSz w:w="11906" w:h="16838"/>
      <w:pgMar w:top="1440" w:right="1800" w:bottom="1440" w:left="1800"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DEE24" w14:textId="77777777" w:rsidR="00EF5257" w:rsidRDefault="00EF5257" w:rsidP="00B56228">
      <w:pPr>
        <w:spacing w:after="0" w:line="240" w:lineRule="auto"/>
      </w:pPr>
      <w:r>
        <w:separator/>
      </w:r>
    </w:p>
  </w:endnote>
  <w:endnote w:type="continuationSeparator" w:id="0">
    <w:p w14:paraId="0BC047BE" w14:textId="77777777" w:rsidR="00EF5257" w:rsidRDefault="00EF5257" w:rsidP="00B5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enQuanYi Micro Hei">
    <w:altName w:val="Times New Roman"/>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3" w:usb2="00000000" w:usb3="00000000" w:csb0="0000009F" w:csb1="00000000"/>
  </w:font>
  <w:font w:name="Liberation Sans">
    <w:altName w:val="Arial"/>
    <w:charset w:val="01"/>
    <w:family w:val="swiss"/>
    <w:pitch w:val="variable"/>
  </w:font>
  <w:font w:name="Lohit Hind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FBC78" w14:textId="77777777" w:rsidR="00EF5257" w:rsidRDefault="00EF5257" w:rsidP="00B56228">
      <w:pPr>
        <w:spacing w:after="0" w:line="240" w:lineRule="auto"/>
      </w:pPr>
      <w:r>
        <w:separator/>
      </w:r>
    </w:p>
  </w:footnote>
  <w:footnote w:type="continuationSeparator" w:id="0">
    <w:p w14:paraId="5189F7AA" w14:textId="77777777" w:rsidR="00EF5257" w:rsidRDefault="00EF5257" w:rsidP="00B56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965EF"/>
    <w:multiLevelType w:val="hybridMultilevel"/>
    <w:tmpl w:val="DF8A45E0"/>
    <w:lvl w:ilvl="0" w:tplc="D5C80562">
      <w:start w:val="1"/>
      <w:numFmt w:val="upperLetter"/>
      <w:lvlText w:val="(%1)"/>
      <w:lvlJc w:val="left"/>
      <w:pPr>
        <w:ind w:left="720" w:hanging="360"/>
      </w:pPr>
      <w:rPr>
        <w:rFonts w:hint="default"/>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rick Deelen">
    <w15:presenceInfo w15:providerId="None" w15:userId="Patrick Dee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11B"/>
    <w:rsid w:val="00030CF4"/>
    <w:rsid w:val="000C1815"/>
    <w:rsid w:val="000D19FA"/>
    <w:rsid w:val="001532C3"/>
    <w:rsid w:val="00256778"/>
    <w:rsid w:val="00354C25"/>
    <w:rsid w:val="003948A2"/>
    <w:rsid w:val="004221BC"/>
    <w:rsid w:val="004703D3"/>
    <w:rsid w:val="005475EB"/>
    <w:rsid w:val="006B7BF5"/>
    <w:rsid w:val="007218F3"/>
    <w:rsid w:val="00761D87"/>
    <w:rsid w:val="0076711B"/>
    <w:rsid w:val="00772D31"/>
    <w:rsid w:val="007C4B95"/>
    <w:rsid w:val="007D2D1B"/>
    <w:rsid w:val="00AD6BE4"/>
    <w:rsid w:val="00AF0D64"/>
    <w:rsid w:val="00B56228"/>
    <w:rsid w:val="00B56333"/>
    <w:rsid w:val="00C21463"/>
    <w:rsid w:val="00CC59F1"/>
    <w:rsid w:val="00CF5E6D"/>
    <w:rsid w:val="00D82178"/>
    <w:rsid w:val="00E5097E"/>
    <w:rsid w:val="00EF5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8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1D87"/>
    <w:pPr>
      <w:tabs>
        <w:tab w:val="left" w:pos="720"/>
      </w:tabs>
      <w:suppressAutoHyphens/>
    </w:pPr>
    <w:rPr>
      <w:rFonts w:ascii="Arial" w:eastAsia="WenQuanYi Micro Hei" w:hAnsi="Arial" w:cs="Arial"/>
      <w:color w:val="00000A"/>
    </w:rPr>
  </w:style>
  <w:style w:type="paragraph" w:styleId="Kop1">
    <w:name w:val="heading 1"/>
    <w:basedOn w:val="Standaard2"/>
    <w:next w:val="Standaard"/>
    <w:link w:val="Kop1Char"/>
    <w:uiPriority w:val="9"/>
    <w:qFormat/>
    <w:rsid w:val="00761D87"/>
    <w:pPr>
      <w:pageBreakBefore/>
      <w:outlineLvl w:val="0"/>
    </w:pPr>
    <w:rPr>
      <w:b/>
      <w:color w:val="00000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onTextChar">
    <w:name w:val="Balloon Text Char"/>
    <w:basedOn w:val="Standaardalinea-lettertype"/>
    <w:rPr>
      <w:rFonts w:ascii="Lucida Grande" w:hAnsi="Lucida Grande" w:cs="Lucida Grande"/>
      <w:sz w:val="18"/>
      <w:szCs w:val="18"/>
    </w:rPr>
  </w:style>
  <w:style w:type="character" w:customStyle="1" w:styleId="CommentTextChar">
    <w:name w:val="Comment Text Char"/>
    <w:basedOn w:val="Standaardalinea-lettertype"/>
  </w:style>
  <w:style w:type="character" w:styleId="Verwijzingopmerking">
    <w:name w:val="annotation reference"/>
    <w:basedOn w:val="Standaardalinea-lettertype"/>
    <w:rPr>
      <w:sz w:val="18"/>
      <w:szCs w:val="18"/>
    </w:rPr>
  </w:style>
  <w:style w:type="character" w:customStyle="1" w:styleId="CommentSubjectChar">
    <w:name w:val="Comment Subject Char"/>
    <w:basedOn w:val="CommentTextChar"/>
    <w:rPr>
      <w:b/>
      <w:bCs/>
      <w:sz w:val="20"/>
      <w:szCs w:val="20"/>
    </w:rPr>
  </w:style>
  <w:style w:type="character" w:customStyle="1" w:styleId="TitleChar">
    <w:name w:val="Title Char"/>
    <w:basedOn w:val="Standaardalinea-lettertype"/>
    <w:rPr>
      <w:rFonts w:ascii="Trebuchet MS" w:eastAsia="Trebuchet MS" w:hAnsi="Trebuchet MS" w:cs="Trebuchet MS"/>
      <w:color w:val="000000"/>
      <w:sz w:val="42"/>
      <w:szCs w:val="42"/>
    </w:rPr>
  </w:style>
  <w:style w:type="paragraph" w:customStyle="1" w:styleId="Heading">
    <w:name w:val="Heading"/>
    <w:basedOn w:val="Standaard"/>
    <w:next w:val="Textbody"/>
    <w:pPr>
      <w:keepNext/>
      <w:spacing w:before="240" w:after="120"/>
    </w:pPr>
    <w:rPr>
      <w:rFonts w:ascii="Liberation Sans" w:hAnsi="Liberation Sans" w:cs="Lohit Hindi"/>
      <w:sz w:val="28"/>
      <w:szCs w:val="28"/>
    </w:rPr>
  </w:style>
  <w:style w:type="paragraph" w:customStyle="1" w:styleId="Textbody">
    <w:name w:val="Text body"/>
    <w:basedOn w:val="Standaard"/>
    <w:pPr>
      <w:spacing w:after="120"/>
    </w:pPr>
  </w:style>
  <w:style w:type="paragraph" w:styleId="Lijst">
    <w:name w:val="List"/>
    <w:basedOn w:val="Textbody"/>
    <w:rPr>
      <w:rFonts w:cs="Lohit Hindi"/>
    </w:rPr>
  </w:style>
  <w:style w:type="paragraph" w:styleId="Bijschrift">
    <w:name w:val="caption"/>
    <w:basedOn w:val="Standaard"/>
    <w:pPr>
      <w:suppressLineNumbers/>
      <w:spacing w:before="120" w:after="120"/>
    </w:pPr>
    <w:rPr>
      <w:rFonts w:cs="Lohit Hindi"/>
      <w:i/>
      <w:iCs/>
    </w:rPr>
  </w:style>
  <w:style w:type="paragraph" w:customStyle="1" w:styleId="Index">
    <w:name w:val="Index"/>
    <w:basedOn w:val="Standaard"/>
    <w:pPr>
      <w:suppressLineNumbers/>
    </w:pPr>
    <w:rPr>
      <w:rFonts w:cs="Lohit Hindi"/>
    </w:rPr>
  </w:style>
  <w:style w:type="paragraph" w:customStyle="1" w:styleId="Standaard1">
    <w:name w:val="Standaard1"/>
    <w:pPr>
      <w:tabs>
        <w:tab w:val="left" w:pos="720"/>
      </w:tabs>
      <w:suppressAutoHyphens/>
    </w:pPr>
    <w:rPr>
      <w:rFonts w:ascii="Arial" w:eastAsia="Arial" w:hAnsi="Arial" w:cs="Arial"/>
      <w:color w:val="000000"/>
    </w:rPr>
  </w:style>
  <w:style w:type="paragraph" w:styleId="Ballontekst">
    <w:name w:val="Balloon Text"/>
    <w:basedOn w:val="Standaard"/>
    <w:rPr>
      <w:rFonts w:ascii="Lucida Grande" w:hAnsi="Lucida Grande" w:cs="Lucida Grande"/>
      <w:sz w:val="18"/>
      <w:szCs w:val="18"/>
    </w:rPr>
  </w:style>
  <w:style w:type="paragraph" w:styleId="Tekstopmerking">
    <w:name w:val="annotation text"/>
    <w:basedOn w:val="Standaard"/>
  </w:style>
  <w:style w:type="paragraph" w:styleId="Onderwerpvanopmerking">
    <w:name w:val="annotation subject"/>
    <w:basedOn w:val="Tekstopmerking"/>
    <w:rPr>
      <w:b/>
      <w:bCs/>
      <w:sz w:val="20"/>
      <w:szCs w:val="20"/>
    </w:rPr>
  </w:style>
  <w:style w:type="paragraph" w:customStyle="1" w:styleId="Standaard2">
    <w:name w:val="Standaard2"/>
    <w:pPr>
      <w:tabs>
        <w:tab w:val="left" w:pos="720"/>
      </w:tabs>
      <w:suppressAutoHyphens/>
    </w:pPr>
    <w:rPr>
      <w:rFonts w:ascii="Arial" w:eastAsia="Arial" w:hAnsi="Arial" w:cs="Arial"/>
      <w:color w:val="000000"/>
    </w:rPr>
  </w:style>
  <w:style w:type="paragraph" w:styleId="Titel">
    <w:name w:val="Title"/>
    <w:basedOn w:val="Standaard"/>
    <w:next w:val="Ondertitel"/>
    <w:pPr>
      <w:keepNext/>
      <w:keepLines/>
      <w:spacing w:after="240"/>
      <w:jc w:val="center"/>
    </w:pPr>
    <w:rPr>
      <w:rFonts w:ascii="Trebuchet MS" w:eastAsia="Trebuchet MS" w:hAnsi="Trebuchet MS" w:cs="Trebuchet MS"/>
      <w:b/>
      <w:bCs/>
      <w:color w:val="000000"/>
      <w:sz w:val="42"/>
      <w:szCs w:val="42"/>
    </w:rPr>
  </w:style>
  <w:style w:type="paragraph" w:styleId="Ondertitel">
    <w:name w:val="Subtitle"/>
    <w:basedOn w:val="Heading"/>
    <w:next w:val="Textbody"/>
    <w:pPr>
      <w:jc w:val="center"/>
    </w:pPr>
    <w:rPr>
      <w:i/>
      <w:iCs/>
    </w:rPr>
  </w:style>
  <w:style w:type="character" w:customStyle="1" w:styleId="Kop1Char">
    <w:name w:val="Kop 1 Char"/>
    <w:basedOn w:val="Standaardalinea-lettertype"/>
    <w:link w:val="Kop1"/>
    <w:uiPriority w:val="9"/>
    <w:rsid w:val="00761D87"/>
    <w:rPr>
      <w:rFonts w:ascii="Arial" w:eastAsia="Arial" w:hAnsi="Arial" w:cs="Arial"/>
      <w:b/>
      <w:color w:val="00000A"/>
    </w:rPr>
  </w:style>
  <w:style w:type="paragraph" w:styleId="Geenafstand">
    <w:name w:val="No Spacing"/>
    <w:uiPriority w:val="1"/>
    <w:qFormat/>
    <w:rsid w:val="00761D87"/>
    <w:pPr>
      <w:tabs>
        <w:tab w:val="left" w:pos="720"/>
      </w:tabs>
      <w:suppressAutoHyphens/>
      <w:spacing w:after="0" w:line="240" w:lineRule="auto"/>
    </w:pPr>
    <w:rPr>
      <w:rFonts w:ascii="Cambria" w:eastAsia="WenQuanYi Micro Hei" w:hAnsi="Cambria"/>
      <w:color w:val="00000A"/>
      <w:sz w:val="24"/>
      <w:szCs w:val="24"/>
    </w:rPr>
  </w:style>
  <w:style w:type="paragraph" w:styleId="Kopvaninhoudsopgave">
    <w:name w:val="TOC Heading"/>
    <w:basedOn w:val="Kop1"/>
    <w:next w:val="Standaard"/>
    <w:uiPriority w:val="39"/>
    <w:unhideWhenUsed/>
    <w:qFormat/>
    <w:rsid w:val="00761D87"/>
    <w:pPr>
      <w:keepNext/>
      <w:keepLines/>
      <w:pageBreakBefore w:val="0"/>
      <w:tabs>
        <w:tab w:val="clear" w:pos="720"/>
      </w:tabs>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761D87"/>
    <w:pPr>
      <w:tabs>
        <w:tab w:val="clear" w:pos="720"/>
      </w:tabs>
      <w:spacing w:after="100"/>
    </w:pPr>
  </w:style>
  <w:style w:type="character" w:styleId="Hyperlink">
    <w:name w:val="Hyperlink"/>
    <w:basedOn w:val="Standaardalinea-lettertype"/>
    <w:uiPriority w:val="99"/>
    <w:unhideWhenUsed/>
    <w:rsid w:val="00761D87"/>
    <w:rPr>
      <w:color w:val="0000FF" w:themeColor="hyperlink"/>
      <w:u w:val="single"/>
    </w:rPr>
  </w:style>
  <w:style w:type="paragraph" w:styleId="Koptekst">
    <w:name w:val="header"/>
    <w:basedOn w:val="Standaard"/>
    <w:link w:val="KoptekstChar"/>
    <w:uiPriority w:val="99"/>
    <w:unhideWhenUsed/>
    <w:rsid w:val="00B56228"/>
    <w:pPr>
      <w:tabs>
        <w:tab w:val="clear" w:pos="720"/>
        <w:tab w:val="center" w:pos="4320"/>
        <w:tab w:val="right" w:pos="8640"/>
      </w:tabs>
      <w:spacing w:after="0" w:line="240" w:lineRule="auto"/>
    </w:pPr>
  </w:style>
  <w:style w:type="character" w:customStyle="1" w:styleId="KoptekstChar">
    <w:name w:val="Koptekst Char"/>
    <w:basedOn w:val="Standaardalinea-lettertype"/>
    <w:link w:val="Koptekst"/>
    <w:uiPriority w:val="99"/>
    <w:rsid w:val="00B56228"/>
    <w:rPr>
      <w:rFonts w:ascii="Arial" w:eastAsia="WenQuanYi Micro Hei" w:hAnsi="Arial" w:cs="Arial"/>
      <w:color w:val="00000A"/>
    </w:rPr>
  </w:style>
  <w:style w:type="paragraph" w:styleId="Voettekst">
    <w:name w:val="footer"/>
    <w:basedOn w:val="Standaard"/>
    <w:link w:val="VoettekstChar"/>
    <w:uiPriority w:val="99"/>
    <w:unhideWhenUsed/>
    <w:rsid w:val="00B56228"/>
    <w:pPr>
      <w:tabs>
        <w:tab w:val="clear" w:pos="720"/>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B56228"/>
    <w:rPr>
      <w:rFonts w:ascii="Arial" w:eastAsia="WenQuanYi Micro Hei" w:hAnsi="Arial" w:cs="Arial"/>
      <w:color w:val="00000A"/>
    </w:rPr>
  </w:style>
  <w:style w:type="paragraph" w:styleId="Lijstalinea">
    <w:name w:val="List Paragraph"/>
    <w:basedOn w:val="Standaard"/>
    <w:uiPriority w:val="34"/>
    <w:qFormat/>
    <w:rsid w:val="00AD6B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1D87"/>
    <w:pPr>
      <w:tabs>
        <w:tab w:val="left" w:pos="720"/>
      </w:tabs>
      <w:suppressAutoHyphens/>
    </w:pPr>
    <w:rPr>
      <w:rFonts w:ascii="Arial" w:eastAsia="WenQuanYi Micro Hei" w:hAnsi="Arial" w:cs="Arial"/>
      <w:color w:val="00000A"/>
    </w:rPr>
  </w:style>
  <w:style w:type="paragraph" w:styleId="Kop1">
    <w:name w:val="heading 1"/>
    <w:basedOn w:val="Standaard2"/>
    <w:next w:val="Standaard"/>
    <w:link w:val="Kop1Char"/>
    <w:uiPriority w:val="9"/>
    <w:qFormat/>
    <w:rsid w:val="00761D87"/>
    <w:pPr>
      <w:pageBreakBefore/>
      <w:outlineLvl w:val="0"/>
    </w:pPr>
    <w:rPr>
      <w:b/>
      <w:color w:val="00000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onTextChar">
    <w:name w:val="Balloon Text Char"/>
    <w:basedOn w:val="Standaardalinea-lettertype"/>
    <w:rPr>
      <w:rFonts w:ascii="Lucida Grande" w:hAnsi="Lucida Grande" w:cs="Lucida Grande"/>
      <w:sz w:val="18"/>
      <w:szCs w:val="18"/>
    </w:rPr>
  </w:style>
  <w:style w:type="character" w:customStyle="1" w:styleId="CommentTextChar">
    <w:name w:val="Comment Text Char"/>
    <w:basedOn w:val="Standaardalinea-lettertype"/>
  </w:style>
  <w:style w:type="character" w:styleId="Verwijzingopmerking">
    <w:name w:val="annotation reference"/>
    <w:basedOn w:val="Standaardalinea-lettertype"/>
    <w:rPr>
      <w:sz w:val="18"/>
      <w:szCs w:val="18"/>
    </w:rPr>
  </w:style>
  <w:style w:type="character" w:customStyle="1" w:styleId="CommentSubjectChar">
    <w:name w:val="Comment Subject Char"/>
    <w:basedOn w:val="CommentTextChar"/>
    <w:rPr>
      <w:b/>
      <w:bCs/>
      <w:sz w:val="20"/>
      <w:szCs w:val="20"/>
    </w:rPr>
  </w:style>
  <w:style w:type="character" w:customStyle="1" w:styleId="TitleChar">
    <w:name w:val="Title Char"/>
    <w:basedOn w:val="Standaardalinea-lettertype"/>
    <w:rPr>
      <w:rFonts w:ascii="Trebuchet MS" w:eastAsia="Trebuchet MS" w:hAnsi="Trebuchet MS" w:cs="Trebuchet MS"/>
      <w:color w:val="000000"/>
      <w:sz w:val="42"/>
      <w:szCs w:val="42"/>
    </w:rPr>
  </w:style>
  <w:style w:type="paragraph" w:customStyle="1" w:styleId="Heading">
    <w:name w:val="Heading"/>
    <w:basedOn w:val="Standaard"/>
    <w:next w:val="Textbody"/>
    <w:pPr>
      <w:keepNext/>
      <w:spacing w:before="240" w:after="120"/>
    </w:pPr>
    <w:rPr>
      <w:rFonts w:ascii="Liberation Sans" w:hAnsi="Liberation Sans" w:cs="Lohit Hindi"/>
      <w:sz w:val="28"/>
      <w:szCs w:val="28"/>
    </w:rPr>
  </w:style>
  <w:style w:type="paragraph" w:customStyle="1" w:styleId="Textbody">
    <w:name w:val="Text body"/>
    <w:basedOn w:val="Standaard"/>
    <w:pPr>
      <w:spacing w:after="120"/>
    </w:pPr>
  </w:style>
  <w:style w:type="paragraph" w:styleId="Lijst">
    <w:name w:val="List"/>
    <w:basedOn w:val="Textbody"/>
    <w:rPr>
      <w:rFonts w:cs="Lohit Hindi"/>
    </w:rPr>
  </w:style>
  <w:style w:type="paragraph" w:styleId="Bijschrift">
    <w:name w:val="caption"/>
    <w:basedOn w:val="Standaard"/>
    <w:pPr>
      <w:suppressLineNumbers/>
      <w:spacing w:before="120" w:after="120"/>
    </w:pPr>
    <w:rPr>
      <w:rFonts w:cs="Lohit Hindi"/>
      <w:i/>
      <w:iCs/>
    </w:rPr>
  </w:style>
  <w:style w:type="paragraph" w:customStyle="1" w:styleId="Index">
    <w:name w:val="Index"/>
    <w:basedOn w:val="Standaard"/>
    <w:pPr>
      <w:suppressLineNumbers/>
    </w:pPr>
    <w:rPr>
      <w:rFonts w:cs="Lohit Hindi"/>
    </w:rPr>
  </w:style>
  <w:style w:type="paragraph" w:customStyle="1" w:styleId="Standaard1">
    <w:name w:val="Standaard1"/>
    <w:pPr>
      <w:tabs>
        <w:tab w:val="left" w:pos="720"/>
      </w:tabs>
      <w:suppressAutoHyphens/>
    </w:pPr>
    <w:rPr>
      <w:rFonts w:ascii="Arial" w:eastAsia="Arial" w:hAnsi="Arial" w:cs="Arial"/>
      <w:color w:val="000000"/>
    </w:rPr>
  </w:style>
  <w:style w:type="paragraph" w:styleId="Ballontekst">
    <w:name w:val="Balloon Text"/>
    <w:basedOn w:val="Standaard"/>
    <w:rPr>
      <w:rFonts w:ascii="Lucida Grande" w:hAnsi="Lucida Grande" w:cs="Lucida Grande"/>
      <w:sz w:val="18"/>
      <w:szCs w:val="18"/>
    </w:rPr>
  </w:style>
  <w:style w:type="paragraph" w:styleId="Tekstopmerking">
    <w:name w:val="annotation text"/>
    <w:basedOn w:val="Standaard"/>
  </w:style>
  <w:style w:type="paragraph" w:styleId="Onderwerpvanopmerking">
    <w:name w:val="annotation subject"/>
    <w:basedOn w:val="Tekstopmerking"/>
    <w:rPr>
      <w:b/>
      <w:bCs/>
      <w:sz w:val="20"/>
      <w:szCs w:val="20"/>
    </w:rPr>
  </w:style>
  <w:style w:type="paragraph" w:customStyle="1" w:styleId="Standaard2">
    <w:name w:val="Standaard2"/>
    <w:pPr>
      <w:tabs>
        <w:tab w:val="left" w:pos="720"/>
      </w:tabs>
      <w:suppressAutoHyphens/>
    </w:pPr>
    <w:rPr>
      <w:rFonts w:ascii="Arial" w:eastAsia="Arial" w:hAnsi="Arial" w:cs="Arial"/>
      <w:color w:val="000000"/>
    </w:rPr>
  </w:style>
  <w:style w:type="paragraph" w:styleId="Titel">
    <w:name w:val="Title"/>
    <w:basedOn w:val="Standaard"/>
    <w:next w:val="Ondertitel"/>
    <w:pPr>
      <w:keepNext/>
      <w:keepLines/>
      <w:spacing w:after="240"/>
      <w:jc w:val="center"/>
    </w:pPr>
    <w:rPr>
      <w:rFonts w:ascii="Trebuchet MS" w:eastAsia="Trebuchet MS" w:hAnsi="Trebuchet MS" w:cs="Trebuchet MS"/>
      <w:b/>
      <w:bCs/>
      <w:color w:val="000000"/>
      <w:sz w:val="42"/>
      <w:szCs w:val="42"/>
    </w:rPr>
  </w:style>
  <w:style w:type="paragraph" w:styleId="Ondertitel">
    <w:name w:val="Subtitle"/>
    <w:basedOn w:val="Heading"/>
    <w:next w:val="Textbody"/>
    <w:pPr>
      <w:jc w:val="center"/>
    </w:pPr>
    <w:rPr>
      <w:i/>
      <w:iCs/>
    </w:rPr>
  </w:style>
  <w:style w:type="character" w:customStyle="1" w:styleId="Kop1Char">
    <w:name w:val="Kop 1 Char"/>
    <w:basedOn w:val="Standaardalinea-lettertype"/>
    <w:link w:val="Kop1"/>
    <w:uiPriority w:val="9"/>
    <w:rsid w:val="00761D87"/>
    <w:rPr>
      <w:rFonts w:ascii="Arial" w:eastAsia="Arial" w:hAnsi="Arial" w:cs="Arial"/>
      <w:b/>
      <w:color w:val="00000A"/>
    </w:rPr>
  </w:style>
  <w:style w:type="paragraph" w:styleId="Geenafstand">
    <w:name w:val="No Spacing"/>
    <w:uiPriority w:val="1"/>
    <w:qFormat/>
    <w:rsid w:val="00761D87"/>
    <w:pPr>
      <w:tabs>
        <w:tab w:val="left" w:pos="720"/>
      </w:tabs>
      <w:suppressAutoHyphens/>
      <w:spacing w:after="0" w:line="240" w:lineRule="auto"/>
    </w:pPr>
    <w:rPr>
      <w:rFonts w:ascii="Cambria" w:eastAsia="WenQuanYi Micro Hei" w:hAnsi="Cambria"/>
      <w:color w:val="00000A"/>
      <w:sz w:val="24"/>
      <w:szCs w:val="24"/>
    </w:rPr>
  </w:style>
  <w:style w:type="paragraph" w:styleId="Kopvaninhoudsopgave">
    <w:name w:val="TOC Heading"/>
    <w:basedOn w:val="Kop1"/>
    <w:next w:val="Standaard"/>
    <w:uiPriority w:val="39"/>
    <w:unhideWhenUsed/>
    <w:qFormat/>
    <w:rsid w:val="00761D87"/>
    <w:pPr>
      <w:keepNext/>
      <w:keepLines/>
      <w:pageBreakBefore w:val="0"/>
      <w:tabs>
        <w:tab w:val="clear" w:pos="720"/>
      </w:tabs>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761D87"/>
    <w:pPr>
      <w:tabs>
        <w:tab w:val="clear" w:pos="720"/>
      </w:tabs>
      <w:spacing w:after="100"/>
    </w:pPr>
  </w:style>
  <w:style w:type="character" w:styleId="Hyperlink">
    <w:name w:val="Hyperlink"/>
    <w:basedOn w:val="Standaardalinea-lettertype"/>
    <w:uiPriority w:val="99"/>
    <w:unhideWhenUsed/>
    <w:rsid w:val="00761D87"/>
    <w:rPr>
      <w:color w:val="0000FF" w:themeColor="hyperlink"/>
      <w:u w:val="single"/>
    </w:rPr>
  </w:style>
  <w:style w:type="paragraph" w:styleId="Koptekst">
    <w:name w:val="header"/>
    <w:basedOn w:val="Standaard"/>
    <w:link w:val="KoptekstChar"/>
    <w:uiPriority w:val="99"/>
    <w:unhideWhenUsed/>
    <w:rsid w:val="00B56228"/>
    <w:pPr>
      <w:tabs>
        <w:tab w:val="clear" w:pos="720"/>
        <w:tab w:val="center" w:pos="4320"/>
        <w:tab w:val="right" w:pos="8640"/>
      </w:tabs>
      <w:spacing w:after="0" w:line="240" w:lineRule="auto"/>
    </w:pPr>
  </w:style>
  <w:style w:type="character" w:customStyle="1" w:styleId="KoptekstChar">
    <w:name w:val="Koptekst Char"/>
    <w:basedOn w:val="Standaardalinea-lettertype"/>
    <w:link w:val="Koptekst"/>
    <w:uiPriority w:val="99"/>
    <w:rsid w:val="00B56228"/>
    <w:rPr>
      <w:rFonts w:ascii="Arial" w:eastAsia="WenQuanYi Micro Hei" w:hAnsi="Arial" w:cs="Arial"/>
      <w:color w:val="00000A"/>
    </w:rPr>
  </w:style>
  <w:style w:type="paragraph" w:styleId="Voettekst">
    <w:name w:val="footer"/>
    <w:basedOn w:val="Standaard"/>
    <w:link w:val="VoettekstChar"/>
    <w:uiPriority w:val="99"/>
    <w:unhideWhenUsed/>
    <w:rsid w:val="00B56228"/>
    <w:pPr>
      <w:tabs>
        <w:tab w:val="clear" w:pos="720"/>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B56228"/>
    <w:rPr>
      <w:rFonts w:ascii="Arial" w:eastAsia="WenQuanYi Micro Hei" w:hAnsi="Arial" w:cs="Arial"/>
      <w:color w:val="00000A"/>
    </w:rPr>
  </w:style>
  <w:style w:type="paragraph" w:styleId="Lijstalinea">
    <w:name w:val="List Paragraph"/>
    <w:basedOn w:val="Standaard"/>
    <w:uiPriority w:val="34"/>
    <w:qFormat/>
    <w:rsid w:val="00AD6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40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58234-5233-4E82-A810-D57E7B6E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1548</Words>
  <Characters>8824</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dc:creator>
  <cp:lastModifiedBy>peter-bram</cp:lastModifiedBy>
  <cp:revision>11</cp:revision>
  <dcterms:created xsi:type="dcterms:W3CDTF">2016-06-07T19:45:00Z</dcterms:created>
  <dcterms:modified xsi:type="dcterms:W3CDTF">2016-06-10T09:07:00Z</dcterms:modified>
</cp:coreProperties>
</file>